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E6" w:rsidRDefault="00BA0DE6">
      <w:pPr>
        <w:pStyle w:val="Heading1"/>
        <w:ind w:right="-86"/>
        <w:jc w:val="both"/>
        <w:rPr>
          <w:rFonts w:ascii="Helvetica" w:hAnsi="Helvetica"/>
          <w:sz w:val="22"/>
          <w:szCs w:val="22"/>
        </w:rPr>
      </w:pPr>
    </w:p>
    <w:p w:rsidR="00BA0DE6" w:rsidRPr="00671AC5" w:rsidRDefault="00BA0DE6" w:rsidP="00EB293F">
      <w:pPr>
        <w:pStyle w:val="Heading1"/>
        <w:ind w:right="-86" w:hanging="426"/>
        <w:jc w:val="both"/>
        <w:rPr>
          <w:rFonts w:ascii="Calibri" w:hAnsi="Calibri"/>
          <w:sz w:val="22"/>
          <w:szCs w:val="22"/>
        </w:rPr>
      </w:pPr>
      <w:r>
        <w:rPr>
          <w:rFonts w:ascii="Calibri" w:hAnsi="Calibri"/>
          <w:sz w:val="22"/>
          <w:szCs w:val="22"/>
        </w:rPr>
        <w:t>Il</w:t>
      </w:r>
      <w:r w:rsidRPr="00671AC5">
        <w:rPr>
          <w:rFonts w:ascii="Calibri" w:hAnsi="Calibri"/>
          <w:sz w:val="22"/>
          <w:szCs w:val="22"/>
        </w:rPr>
        <w:t xml:space="preserve"> </w:t>
      </w:r>
      <w:r>
        <w:rPr>
          <w:rFonts w:ascii="Calibri" w:hAnsi="Calibri"/>
          <w:sz w:val="22"/>
          <w:szCs w:val="22"/>
        </w:rPr>
        <w:t>12</w:t>
      </w:r>
      <w:r w:rsidRPr="00671AC5">
        <w:rPr>
          <w:rFonts w:ascii="Calibri" w:hAnsi="Calibri"/>
          <w:sz w:val="22"/>
          <w:szCs w:val="22"/>
        </w:rPr>
        <w:t xml:space="preserve"> </w:t>
      </w:r>
      <w:r>
        <w:rPr>
          <w:rFonts w:ascii="Calibri" w:hAnsi="Calibri"/>
          <w:sz w:val="22"/>
          <w:szCs w:val="22"/>
        </w:rPr>
        <w:t>novembre</w:t>
      </w:r>
      <w:r w:rsidRPr="00671AC5">
        <w:rPr>
          <w:rFonts w:ascii="Calibri" w:hAnsi="Calibri"/>
          <w:sz w:val="22"/>
          <w:szCs w:val="22"/>
        </w:rPr>
        <w:t xml:space="preserve"> 2012,  in </w:t>
      </w:r>
      <w:r>
        <w:rPr>
          <w:rFonts w:ascii="Calibri" w:hAnsi="Calibri"/>
          <w:sz w:val="22"/>
          <w:szCs w:val="22"/>
        </w:rPr>
        <w:t>Cuneo</w:t>
      </w:r>
      <w:r w:rsidRPr="00671AC5">
        <w:rPr>
          <w:rFonts w:ascii="Calibri" w:hAnsi="Calibri"/>
          <w:sz w:val="22"/>
          <w:szCs w:val="22"/>
        </w:rPr>
        <w:t>.</w:t>
      </w:r>
    </w:p>
    <w:p w:rsidR="00BA0DE6" w:rsidRPr="00671AC5" w:rsidRDefault="00BA0DE6">
      <w:pPr>
        <w:tabs>
          <w:tab w:val="left" w:pos="17100"/>
        </w:tabs>
        <w:spacing w:after="80"/>
        <w:ind w:right="-86"/>
        <w:rPr>
          <w:rFonts w:ascii="Calibri" w:hAnsi="Calibri"/>
          <w:sz w:val="22"/>
          <w:szCs w:val="22"/>
        </w:rPr>
      </w:pPr>
    </w:p>
    <w:p w:rsidR="00BA0DE6" w:rsidRPr="00671AC5" w:rsidRDefault="00BA0DE6">
      <w:pPr>
        <w:tabs>
          <w:tab w:val="left" w:pos="17100"/>
        </w:tabs>
        <w:spacing w:after="80"/>
        <w:ind w:right="-86"/>
        <w:jc w:val="center"/>
        <w:rPr>
          <w:rFonts w:ascii="Calibri" w:hAnsi="Calibri"/>
          <w:sz w:val="22"/>
          <w:szCs w:val="22"/>
        </w:rPr>
      </w:pPr>
      <w:r w:rsidRPr="00671AC5">
        <w:rPr>
          <w:rFonts w:ascii="Calibri" w:hAnsi="Calibri"/>
          <w:sz w:val="22"/>
          <w:szCs w:val="22"/>
        </w:rPr>
        <w:t>Tra:</w:t>
      </w:r>
    </w:p>
    <w:p w:rsidR="00BA0DE6" w:rsidRPr="00671AC5" w:rsidRDefault="00BA0DE6">
      <w:pPr>
        <w:tabs>
          <w:tab w:val="left" w:pos="17100"/>
        </w:tabs>
        <w:spacing w:after="80"/>
        <w:ind w:right="-86"/>
        <w:jc w:val="center"/>
        <w:rPr>
          <w:rFonts w:ascii="Calibri" w:hAnsi="Calibri"/>
          <w:sz w:val="22"/>
          <w:szCs w:val="22"/>
        </w:rPr>
      </w:pPr>
    </w:p>
    <w:p w:rsidR="00BA0DE6" w:rsidRDefault="00BA0DE6" w:rsidP="001707EE">
      <w:pPr>
        <w:pStyle w:val="Heading2"/>
        <w:tabs>
          <w:tab w:val="left" w:pos="7560"/>
        </w:tabs>
        <w:spacing w:after="20"/>
        <w:ind w:left="-360" w:right="-86"/>
        <w:jc w:val="both"/>
        <w:rPr>
          <w:rFonts w:ascii="Calibri" w:hAnsi="Calibri" w:cs="Helvetica"/>
          <w:iCs/>
          <w:sz w:val="22"/>
          <w:szCs w:val="22"/>
        </w:rPr>
      </w:pPr>
      <w:r>
        <w:rPr>
          <w:rFonts w:ascii="Calibri" w:hAnsi="Calibri" w:cs="Helvetica"/>
          <w:sz w:val="22"/>
          <w:szCs w:val="22"/>
        </w:rPr>
        <w:t>Società Italiana Leasing e Finanziamenti</w:t>
      </w:r>
      <w:r w:rsidRPr="00671AC5">
        <w:rPr>
          <w:rFonts w:ascii="Calibri" w:hAnsi="Calibri" w:cs="Helvetica"/>
          <w:sz w:val="22"/>
          <w:szCs w:val="22"/>
        </w:rPr>
        <w:t xml:space="preserve"> S.p.a., d’ora in poi per brevità denominata anche “</w:t>
      </w:r>
      <w:r>
        <w:rPr>
          <w:rFonts w:ascii="Calibri" w:hAnsi="Calibri" w:cs="Helvetica"/>
          <w:i/>
          <w:iCs/>
          <w:sz w:val="22"/>
          <w:szCs w:val="22"/>
        </w:rPr>
        <w:t>SILF</w:t>
      </w:r>
      <w:r>
        <w:rPr>
          <w:rFonts w:ascii="Calibri" w:hAnsi="Calibri" w:cs="Helvetica"/>
          <w:iCs/>
          <w:sz w:val="22"/>
          <w:szCs w:val="22"/>
        </w:rPr>
        <w:t>”</w:t>
      </w:r>
    </w:p>
    <w:p w:rsidR="00BA0DE6" w:rsidRPr="00671AC5" w:rsidRDefault="00BA0DE6" w:rsidP="00671AC5"/>
    <w:p w:rsidR="00BA0DE6" w:rsidRDefault="00BA0DE6" w:rsidP="00205AFE">
      <w:pPr>
        <w:tabs>
          <w:tab w:val="left" w:pos="17100"/>
        </w:tabs>
        <w:spacing w:after="160"/>
        <w:ind w:right="-86"/>
        <w:jc w:val="center"/>
        <w:rPr>
          <w:rFonts w:ascii="Calibri" w:hAnsi="Calibri"/>
          <w:sz w:val="22"/>
          <w:szCs w:val="22"/>
        </w:rPr>
      </w:pPr>
      <w:r>
        <w:rPr>
          <w:rFonts w:ascii="Calibri" w:hAnsi="Calibri"/>
          <w:sz w:val="22"/>
          <w:szCs w:val="22"/>
        </w:rPr>
        <w:t>e</w:t>
      </w:r>
    </w:p>
    <w:p w:rsidR="00BA0DE6" w:rsidRPr="00671AC5" w:rsidRDefault="00BA0DE6" w:rsidP="001707EE">
      <w:pPr>
        <w:tabs>
          <w:tab w:val="left" w:pos="17100"/>
        </w:tabs>
        <w:spacing w:after="160"/>
        <w:ind w:right="-86" w:hanging="426"/>
        <w:rPr>
          <w:rFonts w:ascii="Calibri" w:hAnsi="Calibri"/>
          <w:sz w:val="22"/>
          <w:szCs w:val="22"/>
        </w:rPr>
      </w:pPr>
      <w:r>
        <w:rPr>
          <w:rFonts w:ascii="Calibri" w:hAnsi="Calibri"/>
          <w:sz w:val="22"/>
          <w:szCs w:val="22"/>
        </w:rPr>
        <w:t>la Delegazione Sindacale Aziendale</w:t>
      </w:r>
      <w:r w:rsidRPr="00671AC5">
        <w:rPr>
          <w:rFonts w:ascii="Calibri" w:hAnsi="Calibri"/>
          <w:sz w:val="22"/>
          <w:szCs w:val="22"/>
        </w:rPr>
        <w:t xml:space="preserve"> di</w:t>
      </w:r>
    </w:p>
    <w:p w:rsidR="00BA0DE6" w:rsidRPr="00671AC5" w:rsidRDefault="00BA0DE6">
      <w:pPr>
        <w:numPr>
          <w:ilvl w:val="0"/>
          <w:numId w:val="3"/>
        </w:numPr>
        <w:tabs>
          <w:tab w:val="clear" w:pos="720"/>
          <w:tab w:val="num" w:pos="360"/>
          <w:tab w:val="left" w:pos="17100"/>
        </w:tabs>
        <w:ind w:left="0" w:right="-86"/>
        <w:jc w:val="both"/>
        <w:rPr>
          <w:rFonts w:ascii="Calibri" w:hAnsi="Calibri"/>
          <w:sz w:val="22"/>
          <w:szCs w:val="22"/>
        </w:rPr>
      </w:pPr>
      <w:r>
        <w:rPr>
          <w:rFonts w:ascii="Calibri" w:hAnsi="Calibri"/>
          <w:sz w:val="22"/>
          <w:szCs w:val="22"/>
        </w:rPr>
        <w:t>UNITA’ SINDACALE FALCRI SILCEA</w:t>
      </w:r>
    </w:p>
    <w:p w:rsidR="00BA0DE6" w:rsidRPr="00671AC5" w:rsidRDefault="00BA0DE6" w:rsidP="00D86F31">
      <w:pPr>
        <w:tabs>
          <w:tab w:val="left" w:pos="17100"/>
        </w:tabs>
        <w:ind w:right="-86"/>
        <w:jc w:val="both"/>
        <w:rPr>
          <w:rFonts w:ascii="Calibri" w:hAnsi="Calibri"/>
          <w:sz w:val="22"/>
          <w:szCs w:val="22"/>
        </w:rPr>
      </w:pPr>
    </w:p>
    <w:p w:rsidR="00BA0DE6" w:rsidRPr="00671AC5" w:rsidRDefault="00BA0DE6">
      <w:pPr>
        <w:tabs>
          <w:tab w:val="left" w:pos="17100"/>
        </w:tabs>
        <w:spacing w:after="260"/>
        <w:ind w:right="-86"/>
        <w:jc w:val="both"/>
        <w:rPr>
          <w:rFonts w:ascii="Calibri" w:hAnsi="Calibri"/>
          <w:i/>
          <w:iCs/>
          <w:sz w:val="22"/>
          <w:szCs w:val="22"/>
        </w:rPr>
      </w:pPr>
      <w:r>
        <w:rPr>
          <w:rFonts w:ascii="Calibri" w:hAnsi="Calibri"/>
          <w:sz w:val="22"/>
          <w:szCs w:val="22"/>
        </w:rPr>
        <w:t>d’ora in poi denominata</w:t>
      </w:r>
      <w:r w:rsidRPr="00671AC5">
        <w:rPr>
          <w:rFonts w:ascii="Calibri" w:hAnsi="Calibri"/>
          <w:sz w:val="22"/>
          <w:szCs w:val="22"/>
        </w:rPr>
        <w:t xml:space="preserve"> complessivamente </w:t>
      </w:r>
      <w:r w:rsidRPr="00671AC5">
        <w:rPr>
          <w:rFonts w:ascii="Calibri" w:hAnsi="Calibri"/>
          <w:i/>
          <w:iCs/>
          <w:sz w:val="22"/>
          <w:szCs w:val="22"/>
        </w:rPr>
        <w:t>“</w:t>
      </w:r>
      <w:r>
        <w:rPr>
          <w:rFonts w:ascii="Calibri" w:hAnsi="Calibri"/>
          <w:i/>
          <w:iCs/>
          <w:sz w:val="22"/>
          <w:szCs w:val="22"/>
        </w:rPr>
        <w:t>O.S.</w:t>
      </w:r>
      <w:r w:rsidRPr="00671AC5">
        <w:rPr>
          <w:rFonts w:ascii="Calibri" w:hAnsi="Calibri"/>
          <w:i/>
          <w:iCs/>
          <w:sz w:val="22"/>
          <w:szCs w:val="22"/>
        </w:rPr>
        <w:t>”</w:t>
      </w:r>
    </w:p>
    <w:p w:rsidR="00BA0DE6" w:rsidRDefault="00BA0DE6" w:rsidP="002D6469">
      <w:pPr>
        <w:pStyle w:val="BodyText"/>
        <w:tabs>
          <w:tab w:val="left" w:pos="0"/>
        </w:tabs>
        <w:spacing w:before="120" w:after="120"/>
        <w:ind w:right="-86"/>
        <w:jc w:val="center"/>
        <w:rPr>
          <w:rFonts w:ascii="Calibri" w:hAnsi="Calibri"/>
          <w:sz w:val="22"/>
          <w:szCs w:val="22"/>
        </w:rPr>
      </w:pPr>
      <w:r w:rsidRPr="00671AC5">
        <w:rPr>
          <w:rFonts w:ascii="Calibri" w:hAnsi="Calibri"/>
          <w:sz w:val="22"/>
          <w:szCs w:val="22"/>
        </w:rPr>
        <w:t>Premesso che</w:t>
      </w:r>
    </w:p>
    <w:p w:rsidR="00BA0DE6" w:rsidRPr="00671AC5" w:rsidRDefault="00BA0DE6" w:rsidP="002D6469">
      <w:pPr>
        <w:pStyle w:val="BodyText"/>
        <w:tabs>
          <w:tab w:val="left" w:pos="0"/>
        </w:tabs>
        <w:spacing w:before="120" w:after="120"/>
        <w:ind w:right="-86"/>
        <w:jc w:val="center"/>
        <w:rPr>
          <w:rFonts w:ascii="Calibri" w:hAnsi="Calibri"/>
          <w:sz w:val="22"/>
          <w:szCs w:val="22"/>
        </w:rPr>
      </w:pPr>
    </w:p>
    <w:p w:rsidR="00BA0DE6" w:rsidRPr="00FF16E0" w:rsidRDefault="00BA0DE6" w:rsidP="00671AC5">
      <w:pPr>
        <w:pStyle w:val="Corpodeltesto22"/>
        <w:numPr>
          <w:ilvl w:val="0"/>
          <w:numId w:val="39"/>
        </w:numPr>
        <w:spacing w:after="120"/>
        <w:ind w:left="0" w:hanging="284"/>
        <w:rPr>
          <w:rFonts w:ascii="Calibri" w:hAnsi="Calibri"/>
          <w:szCs w:val="22"/>
        </w:rPr>
      </w:pPr>
      <w:r w:rsidRPr="00FF16E0">
        <w:rPr>
          <w:rFonts w:ascii="Calibri" w:hAnsi="Calibri"/>
          <w:szCs w:val="22"/>
        </w:rPr>
        <w:t xml:space="preserve">I competenti organi statutari di </w:t>
      </w:r>
      <w:r>
        <w:rPr>
          <w:rFonts w:ascii="Calibri" w:hAnsi="Calibri"/>
          <w:szCs w:val="22"/>
        </w:rPr>
        <w:t>SILF</w:t>
      </w:r>
      <w:r w:rsidRPr="00FF16E0">
        <w:rPr>
          <w:rFonts w:ascii="Calibri" w:hAnsi="Calibri"/>
          <w:szCs w:val="22"/>
        </w:rPr>
        <w:t xml:space="preserve"> S.p.a (di seguito anche </w:t>
      </w:r>
      <w:r>
        <w:rPr>
          <w:rFonts w:ascii="Calibri" w:hAnsi="Calibri"/>
          <w:szCs w:val="22"/>
        </w:rPr>
        <w:t>SILF</w:t>
      </w:r>
      <w:r w:rsidRPr="00FF16E0">
        <w:rPr>
          <w:rFonts w:ascii="Calibri" w:hAnsi="Calibri"/>
          <w:szCs w:val="22"/>
        </w:rPr>
        <w:t xml:space="preserve">) e di UBI </w:t>
      </w:r>
      <w:r>
        <w:rPr>
          <w:rFonts w:ascii="Calibri" w:hAnsi="Calibri"/>
          <w:szCs w:val="22"/>
        </w:rPr>
        <w:t>Banca</w:t>
      </w:r>
      <w:r w:rsidRPr="00FF16E0">
        <w:rPr>
          <w:rFonts w:ascii="Calibri" w:hAnsi="Calibri"/>
          <w:szCs w:val="22"/>
        </w:rPr>
        <w:t xml:space="preserve"> </w:t>
      </w:r>
      <w:r>
        <w:rPr>
          <w:rFonts w:ascii="Calibri" w:hAnsi="Calibri"/>
          <w:szCs w:val="22"/>
        </w:rPr>
        <w:t>S.c.p.A. (di seguito anche UBI</w:t>
      </w:r>
      <w:r w:rsidRPr="00FF16E0">
        <w:rPr>
          <w:rFonts w:ascii="Calibri" w:hAnsi="Calibri"/>
          <w:szCs w:val="22"/>
        </w:rPr>
        <w:t xml:space="preserve">), hanno deliberato </w:t>
      </w:r>
      <w:r>
        <w:rPr>
          <w:rFonts w:ascii="Calibri" w:hAnsi="Calibri"/>
          <w:szCs w:val="22"/>
        </w:rPr>
        <w:t>la fusione per incorporazione della prima nella seconda.</w:t>
      </w:r>
    </w:p>
    <w:p w:rsidR="00BA0DE6" w:rsidRPr="00FF16E0" w:rsidRDefault="00BA0DE6" w:rsidP="000C2EE9">
      <w:pPr>
        <w:pStyle w:val="BodyText"/>
        <w:numPr>
          <w:ilvl w:val="0"/>
          <w:numId w:val="39"/>
        </w:numPr>
        <w:tabs>
          <w:tab w:val="left" w:pos="0"/>
        </w:tabs>
        <w:spacing w:after="80"/>
        <w:ind w:left="0" w:right="-86" w:hanging="284"/>
        <w:jc w:val="both"/>
        <w:rPr>
          <w:rFonts w:ascii="Calibri" w:hAnsi="Calibri" w:cs="Helvetica"/>
          <w:sz w:val="22"/>
          <w:szCs w:val="22"/>
        </w:rPr>
      </w:pPr>
      <w:r>
        <w:rPr>
          <w:rFonts w:ascii="Calibri" w:hAnsi="Calibri" w:cs="Helvetica"/>
          <w:sz w:val="22"/>
          <w:szCs w:val="22"/>
        </w:rPr>
        <w:t>In relazione a quanto sopra, c</w:t>
      </w:r>
      <w:r w:rsidRPr="00FF16E0">
        <w:rPr>
          <w:rFonts w:ascii="Calibri" w:hAnsi="Calibri" w:cs="Helvetica"/>
          <w:sz w:val="22"/>
          <w:szCs w:val="22"/>
        </w:rPr>
        <w:t xml:space="preserve">on lettera del </w:t>
      </w:r>
      <w:r>
        <w:rPr>
          <w:rFonts w:ascii="Calibri" w:hAnsi="Calibri" w:cs="Helvetica"/>
          <w:sz w:val="22"/>
          <w:szCs w:val="22"/>
        </w:rPr>
        <w:t>10</w:t>
      </w:r>
      <w:r w:rsidRPr="00FF16E0">
        <w:rPr>
          <w:rFonts w:ascii="Calibri" w:hAnsi="Calibri" w:cs="Helvetica"/>
          <w:sz w:val="22"/>
          <w:szCs w:val="22"/>
        </w:rPr>
        <w:t xml:space="preserve"> ottobre 2012, </w:t>
      </w:r>
      <w:r>
        <w:rPr>
          <w:rFonts w:ascii="Calibri" w:hAnsi="Calibri" w:cs="Helvetica"/>
          <w:sz w:val="22"/>
          <w:szCs w:val="22"/>
        </w:rPr>
        <w:t>è stata fornita all’</w:t>
      </w:r>
      <w:r w:rsidRPr="00FF16E0">
        <w:rPr>
          <w:rFonts w:ascii="Calibri" w:hAnsi="Calibri" w:cs="Helvetica"/>
          <w:sz w:val="22"/>
          <w:szCs w:val="22"/>
        </w:rPr>
        <w:t xml:space="preserve"> </w:t>
      </w:r>
      <w:r>
        <w:rPr>
          <w:rFonts w:ascii="Calibri" w:hAnsi="Calibri" w:cs="Helvetica"/>
          <w:sz w:val="22"/>
          <w:szCs w:val="22"/>
        </w:rPr>
        <w:t>O.S.</w:t>
      </w:r>
      <w:r w:rsidRPr="00FF16E0">
        <w:rPr>
          <w:rFonts w:ascii="Calibri" w:hAnsi="Calibri" w:cs="Helvetica"/>
          <w:sz w:val="22"/>
          <w:szCs w:val="22"/>
        </w:rPr>
        <w:t xml:space="preserve"> l’informativa scritta prevista dalle </w:t>
      </w:r>
      <w:r w:rsidRPr="00FF16E0">
        <w:rPr>
          <w:rFonts w:ascii="Calibri" w:hAnsi="Calibri"/>
          <w:sz w:val="22"/>
          <w:szCs w:val="22"/>
        </w:rPr>
        <w:t>vigenti disposizioni di legge e contrattuali</w:t>
      </w:r>
      <w:r w:rsidRPr="00FF16E0">
        <w:rPr>
          <w:rFonts w:ascii="Calibri" w:hAnsi="Calibri" w:cs="Helvetica"/>
          <w:sz w:val="22"/>
          <w:szCs w:val="22"/>
        </w:rPr>
        <w:t>.</w:t>
      </w:r>
    </w:p>
    <w:p w:rsidR="00BA0DE6" w:rsidRPr="00FF16E0" w:rsidRDefault="00BA0DE6" w:rsidP="002D6469">
      <w:pPr>
        <w:numPr>
          <w:ilvl w:val="0"/>
          <w:numId w:val="39"/>
        </w:numPr>
        <w:tabs>
          <w:tab w:val="num" w:pos="0"/>
        </w:tabs>
        <w:spacing w:before="60" w:after="120"/>
        <w:ind w:left="0" w:right="-86" w:hanging="284"/>
        <w:jc w:val="both"/>
        <w:rPr>
          <w:rFonts w:ascii="Calibri" w:hAnsi="Calibri"/>
          <w:bCs/>
          <w:iCs/>
          <w:sz w:val="22"/>
          <w:szCs w:val="22"/>
        </w:rPr>
      </w:pPr>
      <w:r>
        <w:rPr>
          <w:rFonts w:ascii="Calibri" w:hAnsi="Calibri"/>
          <w:sz w:val="22"/>
          <w:szCs w:val="22"/>
        </w:rPr>
        <w:t>Su richiesta dell’</w:t>
      </w:r>
      <w:r w:rsidRPr="00FF16E0">
        <w:rPr>
          <w:rFonts w:ascii="Calibri" w:hAnsi="Calibri"/>
          <w:sz w:val="22"/>
          <w:szCs w:val="22"/>
        </w:rPr>
        <w:t xml:space="preserve"> </w:t>
      </w:r>
      <w:r>
        <w:rPr>
          <w:rFonts w:ascii="Calibri" w:hAnsi="Calibri"/>
          <w:iCs/>
          <w:sz w:val="22"/>
          <w:szCs w:val="22"/>
        </w:rPr>
        <w:t>O.S.</w:t>
      </w:r>
      <w:r w:rsidRPr="00FF16E0">
        <w:rPr>
          <w:rFonts w:ascii="Calibri" w:hAnsi="Calibri"/>
          <w:sz w:val="22"/>
          <w:szCs w:val="22"/>
        </w:rPr>
        <w:t xml:space="preserve"> si è dato corso ai confronti previsti dalle normative di legge e contrattuali, e i relativi incontri fra la Dele</w:t>
      </w:r>
      <w:r>
        <w:rPr>
          <w:rFonts w:ascii="Calibri" w:hAnsi="Calibri"/>
          <w:sz w:val="22"/>
          <w:szCs w:val="22"/>
        </w:rPr>
        <w:t>gazione aziendale e quella dell’</w:t>
      </w:r>
      <w:r w:rsidRPr="00FF16E0">
        <w:rPr>
          <w:rFonts w:ascii="Calibri" w:hAnsi="Calibri"/>
          <w:sz w:val="22"/>
          <w:szCs w:val="22"/>
        </w:rPr>
        <w:t xml:space="preserve"> </w:t>
      </w:r>
      <w:r>
        <w:rPr>
          <w:rFonts w:ascii="Calibri" w:hAnsi="Calibri"/>
          <w:sz w:val="22"/>
          <w:szCs w:val="22"/>
        </w:rPr>
        <w:t>O.S.</w:t>
      </w:r>
      <w:r w:rsidRPr="00FF16E0">
        <w:rPr>
          <w:rFonts w:ascii="Calibri" w:hAnsi="Calibri"/>
          <w:sz w:val="22"/>
          <w:szCs w:val="22"/>
        </w:rPr>
        <w:t xml:space="preserve"> si succedevano sino alla data del presente Accordo, con la cui sottoscrizione si intendono ad ogni effetto espletate ed assolte le procedure di legge e di contratto previste in materia.</w:t>
      </w:r>
    </w:p>
    <w:p w:rsidR="00BA0DE6" w:rsidRDefault="00BA0DE6" w:rsidP="006B0D73">
      <w:pPr>
        <w:pStyle w:val="BodyText"/>
        <w:numPr>
          <w:ilvl w:val="0"/>
          <w:numId w:val="39"/>
        </w:numPr>
        <w:tabs>
          <w:tab w:val="num" w:pos="0"/>
        </w:tabs>
        <w:spacing w:afterLines="60"/>
        <w:ind w:left="0" w:right="-86" w:hanging="284"/>
        <w:jc w:val="both"/>
        <w:rPr>
          <w:rFonts w:ascii="Calibri" w:hAnsi="Calibri"/>
          <w:sz w:val="22"/>
          <w:szCs w:val="22"/>
        </w:rPr>
      </w:pPr>
      <w:r w:rsidRPr="00FF16E0">
        <w:rPr>
          <w:rFonts w:ascii="Calibri" w:hAnsi="Calibri"/>
          <w:sz w:val="22"/>
          <w:szCs w:val="22"/>
        </w:rPr>
        <w:t>Le Parti nel darsi atto di avere sviluppato nel corso della procedura un ampio e approfondito confronto in ordine alle modalità di realizzazione dell’operazione illustrata nell’informativa di cui al precedente punto 2 e alle conseguenze giuridiche, economiche e sociali nei confronti del Personale derivanti dalla stessa manovra</w:t>
      </w:r>
      <w:r>
        <w:rPr>
          <w:rFonts w:ascii="Calibri" w:hAnsi="Calibri"/>
          <w:sz w:val="22"/>
          <w:szCs w:val="22"/>
        </w:rPr>
        <w:t>,</w:t>
      </w:r>
    </w:p>
    <w:p w:rsidR="00BA0DE6" w:rsidRPr="006F7B10" w:rsidRDefault="00BA0DE6" w:rsidP="006B0D73">
      <w:pPr>
        <w:pStyle w:val="BodyText"/>
        <w:spacing w:afterLines="60"/>
        <w:ind w:right="-86"/>
        <w:jc w:val="both"/>
        <w:rPr>
          <w:rFonts w:ascii="Calibri" w:hAnsi="Calibri"/>
          <w:sz w:val="22"/>
          <w:szCs w:val="22"/>
        </w:rPr>
      </w:pPr>
    </w:p>
    <w:p w:rsidR="00BA0DE6" w:rsidRDefault="00BA0DE6" w:rsidP="006B0D73">
      <w:pPr>
        <w:pStyle w:val="BodyText"/>
        <w:spacing w:afterLines="60"/>
        <w:ind w:right="-86"/>
        <w:jc w:val="center"/>
        <w:rPr>
          <w:rFonts w:ascii="Calibri" w:hAnsi="Calibri" w:cs="Helvetica"/>
          <w:sz w:val="22"/>
          <w:szCs w:val="22"/>
        </w:rPr>
      </w:pPr>
      <w:r w:rsidRPr="00FF16E0">
        <w:rPr>
          <w:rFonts w:ascii="Calibri" w:hAnsi="Calibri" w:cs="Helvetica"/>
          <w:sz w:val="22"/>
          <w:szCs w:val="22"/>
        </w:rPr>
        <w:t>convengono e stipulano quanto segue:</w:t>
      </w:r>
    </w:p>
    <w:p w:rsidR="00BA0DE6" w:rsidRPr="00BB0ABC" w:rsidRDefault="00BA0DE6" w:rsidP="006B0D73">
      <w:pPr>
        <w:pStyle w:val="BodyText"/>
        <w:spacing w:afterLines="60"/>
        <w:ind w:right="-86"/>
        <w:jc w:val="center"/>
        <w:rPr>
          <w:rFonts w:ascii="Calibri" w:hAnsi="Calibri" w:cs="Helvetica"/>
          <w:sz w:val="22"/>
          <w:szCs w:val="22"/>
        </w:rPr>
      </w:pPr>
    </w:p>
    <w:p w:rsidR="00BA0DE6" w:rsidRPr="00D74815" w:rsidRDefault="00BA0DE6" w:rsidP="00D74815">
      <w:pPr>
        <w:ind w:right="-86"/>
        <w:rPr>
          <w:rFonts w:ascii="Calibri" w:hAnsi="Calibri"/>
          <w:sz w:val="22"/>
          <w:szCs w:val="22"/>
        </w:rPr>
      </w:pPr>
      <w:r w:rsidRPr="00FF16E0">
        <w:rPr>
          <w:rFonts w:ascii="Calibri" w:hAnsi="Calibri"/>
          <w:sz w:val="22"/>
          <w:szCs w:val="22"/>
        </w:rPr>
        <w:t>Le premesse costituiscono parte integrante e sostanziale del presente Accordo.</w:t>
      </w:r>
    </w:p>
    <w:p w:rsidR="00BA0DE6" w:rsidRPr="00671AC5" w:rsidRDefault="00BA0DE6">
      <w:pPr>
        <w:pStyle w:val="BodyText"/>
        <w:shd w:val="clear" w:color="auto" w:fill="FFFFFF"/>
        <w:spacing w:after="100"/>
        <w:ind w:right="-86"/>
        <w:rPr>
          <w:rFonts w:ascii="Calibri" w:hAnsi="Calibri"/>
          <w:i/>
          <w:sz w:val="22"/>
          <w:szCs w:val="22"/>
        </w:rPr>
      </w:pPr>
    </w:p>
    <w:p w:rsidR="00BA0DE6" w:rsidRPr="00671AC5" w:rsidRDefault="00BA0DE6">
      <w:pPr>
        <w:ind w:right="-86"/>
        <w:jc w:val="center"/>
        <w:rPr>
          <w:rFonts w:ascii="Calibri" w:hAnsi="Calibri"/>
          <w:sz w:val="22"/>
          <w:szCs w:val="22"/>
        </w:rPr>
      </w:pPr>
      <w:r w:rsidRPr="00671AC5">
        <w:rPr>
          <w:rFonts w:ascii="Calibri" w:hAnsi="Calibri"/>
          <w:sz w:val="22"/>
          <w:szCs w:val="22"/>
        </w:rPr>
        <w:t>Art. 1</w:t>
      </w:r>
    </w:p>
    <w:p w:rsidR="00BA0DE6" w:rsidRPr="00671AC5" w:rsidRDefault="00BA0DE6">
      <w:pPr>
        <w:spacing w:after="80"/>
        <w:ind w:right="-86"/>
        <w:jc w:val="center"/>
        <w:rPr>
          <w:rFonts w:ascii="Calibri" w:hAnsi="Calibri"/>
          <w:i/>
          <w:sz w:val="22"/>
          <w:szCs w:val="22"/>
        </w:rPr>
      </w:pPr>
      <w:r w:rsidRPr="00671AC5">
        <w:rPr>
          <w:rFonts w:ascii="Calibri" w:hAnsi="Calibri"/>
          <w:i/>
          <w:sz w:val="22"/>
          <w:szCs w:val="22"/>
        </w:rPr>
        <w:t>Rapporti di lavoro in corso</w:t>
      </w:r>
    </w:p>
    <w:p w:rsidR="00BA0DE6" w:rsidRDefault="00BA0DE6" w:rsidP="00A934EF">
      <w:pPr>
        <w:spacing w:before="60"/>
        <w:jc w:val="both"/>
        <w:rPr>
          <w:rFonts w:ascii="Calibri" w:hAnsi="Calibri" w:cs="Helvetica"/>
          <w:sz w:val="22"/>
          <w:szCs w:val="22"/>
        </w:rPr>
      </w:pPr>
      <w:r>
        <w:rPr>
          <w:rFonts w:ascii="Calibri" w:hAnsi="Calibri"/>
          <w:sz w:val="22"/>
          <w:szCs w:val="22"/>
        </w:rPr>
        <w:t>I rapporti di lavoro dei</w:t>
      </w:r>
      <w:r w:rsidRPr="00671AC5">
        <w:rPr>
          <w:rFonts w:ascii="Calibri" w:hAnsi="Calibri"/>
          <w:sz w:val="22"/>
          <w:szCs w:val="22"/>
        </w:rPr>
        <w:t xml:space="preserve"> Dipendenti di </w:t>
      </w:r>
      <w:r>
        <w:rPr>
          <w:rFonts w:ascii="Calibri" w:hAnsi="Calibri"/>
          <w:sz w:val="22"/>
          <w:szCs w:val="22"/>
        </w:rPr>
        <w:t>SILF</w:t>
      </w:r>
      <w:r w:rsidRPr="00671AC5">
        <w:rPr>
          <w:rFonts w:ascii="Calibri" w:hAnsi="Calibri"/>
          <w:sz w:val="22"/>
          <w:szCs w:val="22"/>
        </w:rPr>
        <w:t xml:space="preserve"> </w:t>
      </w:r>
      <w:r>
        <w:rPr>
          <w:rFonts w:ascii="Calibri" w:hAnsi="Calibri"/>
          <w:sz w:val="22"/>
          <w:szCs w:val="22"/>
        </w:rPr>
        <w:t xml:space="preserve">proseguiranno  - dalla data di efficacia giuridica dell’operazione (prevista in data non anteriore al 1° dicembre 2012) -  con UBI Banca, </w:t>
      </w:r>
      <w:r w:rsidRPr="00392D3E">
        <w:rPr>
          <w:rFonts w:ascii="Calibri" w:hAnsi="Calibri"/>
          <w:sz w:val="22"/>
          <w:szCs w:val="22"/>
        </w:rPr>
        <w:t xml:space="preserve">senza soluzione di continuità, ai sensi dell’art. 2112 cod. civ., con conservazione delle anzianità di servizio e convenzionali maturate al momento del passaggio nonché di tutti i diritti soggettivi </w:t>
      </w:r>
      <w:r>
        <w:rPr>
          <w:rFonts w:ascii="Calibri" w:hAnsi="Calibri"/>
          <w:sz w:val="22"/>
          <w:szCs w:val="22"/>
        </w:rPr>
        <w:t>acquisiti. P</w:t>
      </w:r>
      <w:r w:rsidRPr="00392D3E">
        <w:rPr>
          <w:rFonts w:ascii="Calibri" w:hAnsi="Calibri"/>
          <w:sz w:val="22"/>
          <w:szCs w:val="22"/>
        </w:rPr>
        <w:t>ertanto, il servizio</w:t>
      </w:r>
      <w:r>
        <w:rPr>
          <w:rFonts w:ascii="Calibri" w:hAnsi="Calibri"/>
          <w:sz w:val="22"/>
          <w:szCs w:val="22"/>
        </w:rPr>
        <w:t xml:space="preserve"> che sarà prestato presso UBI</w:t>
      </w:r>
      <w:r w:rsidRPr="00392D3E">
        <w:rPr>
          <w:rFonts w:ascii="Calibri" w:hAnsi="Calibri"/>
          <w:sz w:val="22"/>
          <w:szCs w:val="22"/>
        </w:rPr>
        <w:t xml:space="preserve"> sarà considerato ad ogni fine connesso all’anzianità aziendale come continuazione di quello prestato presso </w:t>
      </w:r>
      <w:r>
        <w:rPr>
          <w:rFonts w:ascii="Calibri" w:hAnsi="Calibri"/>
          <w:sz w:val="22"/>
          <w:szCs w:val="22"/>
        </w:rPr>
        <w:t>SILF</w:t>
      </w:r>
      <w:r w:rsidRPr="00392D3E">
        <w:rPr>
          <w:rFonts w:ascii="Calibri" w:hAnsi="Calibri"/>
          <w:sz w:val="22"/>
          <w:szCs w:val="22"/>
        </w:rPr>
        <w:t>, con le precisaz</w:t>
      </w:r>
      <w:r>
        <w:rPr>
          <w:rFonts w:ascii="Calibri" w:hAnsi="Calibri"/>
          <w:sz w:val="22"/>
          <w:szCs w:val="22"/>
        </w:rPr>
        <w:t>ioni di cui al presente Accordo</w:t>
      </w:r>
      <w:r w:rsidRPr="00671AC5">
        <w:rPr>
          <w:rFonts w:ascii="Calibri" w:hAnsi="Calibri" w:cs="Helvetica"/>
          <w:sz w:val="22"/>
          <w:szCs w:val="22"/>
        </w:rPr>
        <w:t>.</w:t>
      </w:r>
    </w:p>
    <w:p w:rsidR="00BA0DE6" w:rsidRPr="00A934EF" w:rsidRDefault="00BA0DE6" w:rsidP="00FE337E">
      <w:pPr>
        <w:spacing w:before="60" w:after="120"/>
        <w:jc w:val="both"/>
        <w:rPr>
          <w:rFonts w:ascii="Calibri" w:hAnsi="Calibri"/>
          <w:sz w:val="22"/>
          <w:szCs w:val="22"/>
        </w:rPr>
      </w:pPr>
      <w:r w:rsidRPr="00FE337E">
        <w:rPr>
          <w:rFonts w:ascii="Calibri" w:hAnsi="Calibri"/>
          <w:sz w:val="22"/>
          <w:szCs w:val="22"/>
        </w:rPr>
        <w:t>Fermo quanto previsto sopra, UBI Banca riconoscerà ai Dipendenti SILF oggetto di conferimento, e a condizione che ne risultino già destinatari al momento del passaggio, l’ “Assegno ex SILF”.</w:t>
      </w:r>
    </w:p>
    <w:p w:rsidR="00BA0DE6" w:rsidRPr="00671AC5" w:rsidRDefault="00BA0DE6">
      <w:pPr>
        <w:spacing w:after="120"/>
        <w:ind w:right="-86"/>
        <w:jc w:val="both"/>
        <w:rPr>
          <w:rFonts w:ascii="Calibri" w:hAnsi="Calibri"/>
          <w:sz w:val="22"/>
          <w:szCs w:val="22"/>
        </w:rPr>
      </w:pPr>
      <w:r w:rsidRPr="00671AC5">
        <w:rPr>
          <w:rFonts w:ascii="Calibri" w:hAnsi="Calibri" w:cs="Helvetica"/>
          <w:sz w:val="22"/>
          <w:szCs w:val="22"/>
        </w:rPr>
        <w:t xml:space="preserve">Il trattamento di fine rapporto maturato che risulti nelle disponibilità di </w:t>
      </w:r>
      <w:r>
        <w:rPr>
          <w:rFonts w:ascii="Calibri" w:hAnsi="Calibri" w:cs="Helvetica"/>
          <w:sz w:val="22"/>
          <w:szCs w:val="22"/>
        </w:rPr>
        <w:t>SILF</w:t>
      </w:r>
      <w:r w:rsidRPr="00671AC5">
        <w:rPr>
          <w:rFonts w:ascii="Calibri" w:hAnsi="Calibri" w:cs="Helvetica"/>
          <w:sz w:val="22"/>
          <w:szCs w:val="22"/>
        </w:rPr>
        <w:t xml:space="preserve">, e non già eventualmente versato a forme di previdenza complementare, passerà in capo a </w:t>
      </w:r>
      <w:r>
        <w:rPr>
          <w:rFonts w:ascii="Calibri" w:hAnsi="Calibri" w:cs="Helvetica"/>
          <w:sz w:val="22"/>
          <w:szCs w:val="22"/>
        </w:rPr>
        <w:t>UBI Banca</w:t>
      </w:r>
      <w:r w:rsidRPr="00671AC5">
        <w:rPr>
          <w:rFonts w:ascii="Calibri" w:hAnsi="Calibri" w:cs="Helvetica"/>
          <w:sz w:val="22"/>
          <w:szCs w:val="22"/>
        </w:rPr>
        <w:t>.</w:t>
      </w:r>
      <w:r w:rsidRPr="00671AC5">
        <w:rPr>
          <w:rFonts w:ascii="Calibri" w:hAnsi="Calibri"/>
          <w:sz w:val="22"/>
          <w:szCs w:val="22"/>
        </w:rPr>
        <w:t xml:space="preserve"> </w:t>
      </w:r>
    </w:p>
    <w:p w:rsidR="00BA0DE6" w:rsidRPr="00671AC5" w:rsidRDefault="00BA0DE6">
      <w:pPr>
        <w:spacing w:after="120"/>
        <w:ind w:right="-86"/>
        <w:jc w:val="both"/>
        <w:rPr>
          <w:rFonts w:ascii="Calibri" w:hAnsi="Calibri" w:cs="Helvetica"/>
          <w:sz w:val="22"/>
          <w:szCs w:val="22"/>
        </w:rPr>
      </w:pPr>
      <w:r w:rsidRPr="00671AC5">
        <w:rPr>
          <w:rFonts w:ascii="Calibri" w:hAnsi="Calibri"/>
          <w:sz w:val="22"/>
          <w:szCs w:val="22"/>
        </w:rPr>
        <w:t xml:space="preserve">Con riferimento alle eventuali ferie arretrate e alle ore accumulate nella Banca delle Ore alla data di decorrenza degli effetti </w:t>
      </w:r>
      <w:r>
        <w:rPr>
          <w:rFonts w:ascii="Calibri" w:hAnsi="Calibri"/>
          <w:sz w:val="22"/>
          <w:szCs w:val="22"/>
        </w:rPr>
        <w:t>dell’incorporazione</w:t>
      </w:r>
      <w:r w:rsidRPr="00671AC5">
        <w:rPr>
          <w:rFonts w:ascii="Calibri" w:hAnsi="Calibri"/>
          <w:sz w:val="22"/>
          <w:szCs w:val="22"/>
        </w:rPr>
        <w:t xml:space="preserve"> og</w:t>
      </w:r>
      <w:r>
        <w:rPr>
          <w:rFonts w:ascii="Calibri" w:hAnsi="Calibri"/>
          <w:sz w:val="22"/>
          <w:szCs w:val="22"/>
        </w:rPr>
        <w:t xml:space="preserve">getto del presente accordo, UBI Banca </w:t>
      </w:r>
      <w:r w:rsidRPr="00671AC5">
        <w:rPr>
          <w:rFonts w:ascii="Calibri" w:hAnsi="Calibri"/>
          <w:sz w:val="22"/>
          <w:szCs w:val="22"/>
        </w:rPr>
        <w:t xml:space="preserve">subentrerà in tutte le posizioni di debito/credito nei confronti del Personale interessato </w:t>
      </w:r>
      <w:r>
        <w:rPr>
          <w:rFonts w:ascii="Calibri" w:hAnsi="Calibri"/>
          <w:sz w:val="22"/>
          <w:szCs w:val="22"/>
        </w:rPr>
        <w:t>dal trasferimento</w:t>
      </w:r>
      <w:r w:rsidRPr="00671AC5">
        <w:rPr>
          <w:rFonts w:ascii="Calibri" w:hAnsi="Calibri"/>
          <w:sz w:val="22"/>
          <w:szCs w:val="22"/>
        </w:rPr>
        <w:t>.</w:t>
      </w:r>
    </w:p>
    <w:p w:rsidR="00BA0DE6" w:rsidRPr="00671AC5" w:rsidRDefault="00BA0DE6">
      <w:pPr>
        <w:spacing w:after="120"/>
        <w:ind w:right="-86"/>
        <w:jc w:val="both"/>
        <w:rPr>
          <w:rFonts w:ascii="Calibri" w:hAnsi="Calibri"/>
          <w:sz w:val="22"/>
          <w:szCs w:val="22"/>
        </w:rPr>
      </w:pPr>
      <w:r>
        <w:rPr>
          <w:rFonts w:ascii="Calibri" w:hAnsi="Calibri" w:cs="Helvetica"/>
          <w:sz w:val="22"/>
          <w:szCs w:val="22"/>
        </w:rPr>
        <w:t xml:space="preserve">UBI </w:t>
      </w:r>
      <w:r w:rsidRPr="00671AC5">
        <w:rPr>
          <w:rFonts w:ascii="Calibri" w:hAnsi="Calibri" w:cs="Helvetica"/>
          <w:sz w:val="22"/>
          <w:szCs w:val="22"/>
        </w:rPr>
        <w:t xml:space="preserve">riconoscerà a tutti i Dipendenti interessati </w:t>
      </w:r>
      <w:r>
        <w:rPr>
          <w:rFonts w:ascii="Calibri" w:hAnsi="Calibri" w:cs="Helvetica"/>
          <w:sz w:val="22"/>
          <w:szCs w:val="22"/>
        </w:rPr>
        <w:t>dall’operazione in esame</w:t>
      </w:r>
      <w:r w:rsidRPr="00671AC5">
        <w:rPr>
          <w:rFonts w:ascii="Calibri" w:hAnsi="Calibri" w:cs="Helvetica"/>
          <w:sz w:val="22"/>
          <w:szCs w:val="22"/>
        </w:rPr>
        <w:t xml:space="preserve"> il complessivo trattamento </w:t>
      </w:r>
      <w:r w:rsidRPr="00671AC5">
        <w:rPr>
          <w:rFonts w:ascii="Calibri" w:hAnsi="Calibri"/>
          <w:sz w:val="22"/>
          <w:szCs w:val="22"/>
        </w:rPr>
        <w:t xml:space="preserve">contrattuale nazionale e aziendale in essere presso la stessa, sia sotto l’aspetto economico che normativo, con decorrenza dalla data del passaggio, </w:t>
      </w:r>
      <w:r>
        <w:rPr>
          <w:rFonts w:ascii="Calibri" w:hAnsi="Calibri"/>
          <w:sz w:val="22"/>
          <w:szCs w:val="22"/>
        </w:rPr>
        <w:t>con le precisazioni del</w:t>
      </w:r>
      <w:r w:rsidRPr="00671AC5">
        <w:rPr>
          <w:rFonts w:ascii="Calibri" w:hAnsi="Calibri"/>
          <w:sz w:val="22"/>
          <w:szCs w:val="22"/>
        </w:rPr>
        <w:t xml:space="preserve"> presente Accordo.</w:t>
      </w:r>
    </w:p>
    <w:p w:rsidR="00BA0DE6" w:rsidRPr="00671AC5" w:rsidRDefault="00BA0DE6">
      <w:pPr>
        <w:ind w:right="-86"/>
        <w:jc w:val="center"/>
        <w:rPr>
          <w:rFonts w:ascii="Calibri" w:hAnsi="Calibri" w:cs="Helvetica"/>
          <w:bCs/>
          <w:sz w:val="22"/>
          <w:szCs w:val="22"/>
        </w:rPr>
      </w:pPr>
    </w:p>
    <w:p w:rsidR="00BA0DE6" w:rsidRPr="00671AC5" w:rsidRDefault="00BA0DE6">
      <w:pPr>
        <w:ind w:right="-86"/>
        <w:jc w:val="center"/>
        <w:rPr>
          <w:rFonts w:ascii="Calibri" w:hAnsi="Calibri" w:cs="Helvetica"/>
          <w:bCs/>
          <w:sz w:val="22"/>
          <w:szCs w:val="22"/>
        </w:rPr>
      </w:pPr>
      <w:r w:rsidRPr="00671AC5">
        <w:rPr>
          <w:rFonts w:ascii="Calibri" w:hAnsi="Calibri" w:cs="Helvetica"/>
          <w:bCs/>
          <w:sz w:val="22"/>
          <w:szCs w:val="22"/>
        </w:rPr>
        <w:t>Art.2</w:t>
      </w:r>
    </w:p>
    <w:p w:rsidR="00BA0DE6" w:rsidRPr="00671AC5" w:rsidRDefault="00BA0DE6">
      <w:pPr>
        <w:spacing w:after="80"/>
        <w:ind w:right="-86"/>
        <w:jc w:val="center"/>
        <w:rPr>
          <w:rFonts w:ascii="Calibri" w:hAnsi="Calibri" w:cs="Helvetica"/>
          <w:bCs/>
          <w:i/>
          <w:sz w:val="22"/>
          <w:szCs w:val="22"/>
        </w:rPr>
      </w:pPr>
      <w:r w:rsidRPr="00671AC5">
        <w:rPr>
          <w:rFonts w:ascii="Calibri" w:hAnsi="Calibri"/>
          <w:i/>
          <w:sz w:val="22"/>
          <w:szCs w:val="22"/>
        </w:rPr>
        <w:t xml:space="preserve">Pari opportunità e trattamenti delle Risorse </w:t>
      </w:r>
    </w:p>
    <w:p w:rsidR="00BA0DE6" w:rsidRPr="00671AC5" w:rsidRDefault="00BA0DE6">
      <w:pPr>
        <w:ind w:right="-85"/>
        <w:jc w:val="both"/>
        <w:rPr>
          <w:rFonts w:ascii="Calibri" w:hAnsi="Calibri"/>
          <w:sz w:val="22"/>
          <w:szCs w:val="22"/>
        </w:rPr>
      </w:pPr>
      <w:r>
        <w:rPr>
          <w:rFonts w:ascii="Calibri" w:hAnsi="Calibri"/>
          <w:iCs/>
          <w:sz w:val="22"/>
          <w:szCs w:val="22"/>
        </w:rPr>
        <w:t>Saranno riconosciute</w:t>
      </w:r>
      <w:r w:rsidRPr="00671AC5">
        <w:rPr>
          <w:rFonts w:ascii="Calibri" w:hAnsi="Calibri"/>
          <w:sz w:val="22"/>
          <w:szCs w:val="22"/>
        </w:rPr>
        <w:t xml:space="preserve"> a tutti i Dipendenti acquisiti pari opportunità sul piano delle occasioni di sviluppo personale e professionale e </w:t>
      </w:r>
      <w:r>
        <w:rPr>
          <w:rFonts w:ascii="Calibri" w:hAnsi="Calibri"/>
          <w:sz w:val="22"/>
          <w:szCs w:val="22"/>
        </w:rPr>
        <w:t xml:space="preserve">si </w:t>
      </w:r>
      <w:r w:rsidRPr="00671AC5">
        <w:rPr>
          <w:rFonts w:ascii="Calibri" w:hAnsi="Calibri"/>
          <w:sz w:val="22"/>
          <w:szCs w:val="22"/>
        </w:rPr>
        <w:t>conferma particolare attenzione alla valorizzazione del patrimonio umano e professionale esistente.</w:t>
      </w:r>
    </w:p>
    <w:p w:rsidR="00BA0DE6" w:rsidRPr="00671AC5" w:rsidRDefault="00BA0DE6">
      <w:pPr>
        <w:ind w:right="-85"/>
        <w:jc w:val="both"/>
        <w:rPr>
          <w:rFonts w:ascii="Calibri" w:hAnsi="Calibri" w:cs="Helvetica"/>
          <w:sz w:val="22"/>
          <w:szCs w:val="22"/>
        </w:rPr>
      </w:pPr>
      <w:r w:rsidRPr="00671AC5">
        <w:rPr>
          <w:rFonts w:ascii="Calibri" w:hAnsi="Calibri" w:cs="Helvetica"/>
          <w:sz w:val="22"/>
          <w:szCs w:val="22"/>
        </w:rPr>
        <w:t>Fermo quanto sopra, nel confrontarsi sulle particolarità proprie del passaggio, le Parti si sono accordate per disciplinarle con le previsioni di seguito indicate.</w:t>
      </w:r>
    </w:p>
    <w:p w:rsidR="00BA0DE6" w:rsidRPr="006F761F" w:rsidRDefault="00BA0DE6" w:rsidP="009F09E6">
      <w:pPr>
        <w:ind w:right="-86"/>
        <w:rPr>
          <w:rFonts w:ascii="Calibri" w:hAnsi="Calibri" w:cs="Helvetica"/>
          <w:bCs/>
          <w:i/>
          <w:iCs/>
          <w:sz w:val="22"/>
          <w:szCs w:val="22"/>
          <w:highlight w:val="lightGray"/>
        </w:rPr>
      </w:pPr>
    </w:p>
    <w:p w:rsidR="00BA0DE6" w:rsidRDefault="00BA0DE6" w:rsidP="00773B2A">
      <w:pPr>
        <w:ind w:right="-86"/>
        <w:jc w:val="center"/>
        <w:rPr>
          <w:rFonts w:ascii="Calibri" w:hAnsi="Calibri" w:cs="Calibri"/>
          <w:sz w:val="22"/>
          <w:szCs w:val="22"/>
        </w:rPr>
      </w:pPr>
      <w:r>
        <w:rPr>
          <w:rFonts w:ascii="Calibri" w:hAnsi="Calibri" w:cs="Calibri"/>
          <w:sz w:val="22"/>
          <w:szCs w:val="22"/>
        </w:rPr>
        <w:t>Art. 3</w:t>
      </w:r>
    </w:p>
    <w:p w:rsidR="00BA0DE6" w:rsidRDefault="00BA0DE6" w:rsidP="00773B2A">
      <w:pPr>
        <w:spacing w:after="80"/>
        <w:ind w:right="-86"/>
        <w:jc w:val="center"/>
        <w:rPr>
          <w:rFonts w:ascii="Calibri" w:hAnsi="Calibri" w:cs="Calibri"/>
          <w:b/>
          <w:bCs/>
          <w:i/>
          <w:iCs/>
          <w:sz w:val="22"/>
          <w:szCs w:val="22"/>
        </w:rPr>
      </w:pPr>
      <w:r>
        <w:rPr>
          <w:rFonts w:ascii="Calibri" w:hAnsi="Calibri" w:cs="Calibri"/>
          <w:i/>
          <w:iCs/>
          <w:sz w:val="22"/>
          <w:szCs w:val="22"/>
        </w:rPr>
        <w:t>Previdenza Complementare</w:t>
      </w:r>
    </w:p>
    <w:p w:rsidR="00BA0DE6" w:rsidRPr="00800619" w:rsidRDefault="00BA0DE6" w:rsidP="00773B2A">
      <w:pPr>
        <w:tabs>
          <w:tab w:val="left" w:pos="1985"/>
        </w:tabs>
        <w:spacing w:after="120"/>
        <w:ind w:right="11"/>
        <w:jc w:val="both"/>
        <w:rPr>
          <w:rFonts w:ascii="Calibri" w:hAnsi="Calibri" w:cs="Calibri"/>
          <w:sz w:val="22"/>
          <w:szCs w:val="22"/>
        </w:rPr>
      </w:pPr>
      <w:r>
        <w:rPr>
          <w:rFonts w:ascii="Calibri" w:hAnsi="Calibri" w:cs="Calibri"/>
          <w:sz w:val="22"/>
          <w:szCs w:val="22"/>
        </w:rPr>
        <w:t xml:space="preserve">I Dipendenti di SILF destinati a passare in UBI Banca in virtù del presente accordo, che non sono attualmente iscritti ad alcuna forma di previdenza complementare, possono aderire, a decorrere dalla data di efficacia giuridica dell’operazione in esame, alla Forma di Previdenza Complementare attualmente in essere per il Personale dipendente di UBI Banca rappresentata dal </w:t>
      </w:r>
      <w:r>
        <w:rPr>
          <w:rFonts w:ascii="Calibri" w:hAnsi="Calibri" w:cs="Calibri"/>
          <w:i/>
          <w:iCs/>
          <w:sz w:val="22"/>
          <w:szCs w:val="22"/>
        </w:rPr>
        <w:t>Fondo Pensione del Gruppo UBI Banca, della Banca Popolare di Bergamo e delle altre Società Controllat</w:t>
      </w:r>
      <w:r w:rsidRPr="00800619">
        <w:rPr>
          <w:rFonts w:ascii="Calibri" w:hAnsi="Calibri" w:cs="Calibri"/>
          <w:i/>
          <w:iCs/>
          <w:sz w:val="22"/>
          <w:szCs w:val="22"/>
        </w:rPr>
        <w:t>e,</w:t>
      </w:r>
      <w:r>
        <w:rPr>
          <w:rFonts w:ascii="Calibri" w:hAnsi="Calibri" w:cs="Calibri"/>
          <w:i/>
          <w:iCs/>
          <w:sz w:val="22"/>
          <w:szCs w:val="22"/>
        </w:rPr>
        <w:t xml:space="preserve"> </w:t>
      </w:r>
      <w:r w:rsidRPr="00800619">
        <w:rPr>
          <w:rFonts w:ascii="Calibri" w:hAnsi="Calibri" w:cs="Calibri"/>
          <w:iCs/>
          <w:sz w:val="22"/>
          <w:szCs w:val="22"/>
        </w:rPr>
        <w:t>secondo le regole attualmente vigenti presso la societ</w:t>
      </w:r>
      <w:r>
        <w:rPr>
          <w:rFonts w:ascii="Calibri" w:hAnsi="Calibri" w:cs="Calibri"/>
          <w:iCs/>
          <w:sz w:val="22"/>
          <w:szCs w:val="22"/>
        </w:rPr>
        <w:t>à</w:t>
      </w:r>
      <w:r w:rsidRPr="00800619">
        <w:rPr>
          <w:rFonts w:ascii="Calibri" w:hAnsi="Calibri" w:cs="Calibri"/>
          <w:iCs/>
          <w:sz w:val="22"/>
          <w:szCs w:val="22"/>
        </w:rPr>
        <w:t xml:space="preserve"> incorporante e con versamento della rispettiva contribuzione secondo le aliquote vigenti in UBI Banca.  </w:t>
      </w:r>
    </w:p>
    <w:p w:rsidR="00BA0DE6" w:rsidRDefault="00BA0DE6" w:rsidP="00773B2A">
      <w:pPr>
        <w:tabs>
          <w:tab w:val="left" w:pos="1985"/>
        </w:tabs>
        <w:spacing w:after="120"/>
        <w:ind w:right="11"/>
        <w:jc w:val="both"/>
        <w:rPr>
          <w:rFonts w:ascii="Calibri" w:hAnsi="Calibri" w:cs="Calibri"/>
          <w:sz w:val="22"/>
          <w:szCs w:val="22"/>
        </w:rPr>
      </w:pPr>
      <w:r>
        <w:rPr>
          <w:rFonts w:ascii="Calibri" w:hAnsi="Calibri" w:cs="Calibri"/>
          <w:sz w:val="22"/>
          <w:szCs w:val="22"/>
        </w:rPr>
        <w:t>I dipendenti di SILF in esame attualmente iscritti ad una forma di previdenza complementare possono richiedere  –  entro 60 giorni dalla data di efficacia giuridica dell’operazione, senza oneri per il dipendente – l’adesione al sopraccitato Fondo Pensione, fermo restando:</w:t>
      </w:r>
    </w:p>
    <w:p w:rsidR="00BA0DE6" w:rsidRDefault="00BA0DE6" w:rsidP="00773B2A">
      <w:pPr>
        <w:numPr>
          <w:ilvl w:val="0"/>
          <w:numId w:val="36"/>
        </w:numPr>
        <w:spacing w:after="120"/>
        <w:ind w:right="-86"/>
        <w:jc w:val="both"/>
        <w:rPr>
          <w:rFonts w:ascii="Calibri" w:hAnsi="Calibri" w:cs="Calibri"/>
          <w:sz w:val="22"/>
          <w:szCs w:val="22"/>
        </w:rPr>
      </w:pPr>
      <w:r w:rsidRPr="00244BE7">
        <w:rPr>
          <w:rFonts w:ascii="Calibri" w:hAnsi="Calibri" w:cs="Calibri"/>
          <w:sz w:val="22"/>
          <w:szCs w:val="22"/>
        </w:rPr>
        <w:t>il mantenimento della eventuale qualifica  di vecchio iscritto in caso di trasferimento della posizione ai sensi e per effetto dell’art. 14  del D.Lgs 252/2005 e successive integrazioni e/o modifiche;</w:t>
      </w:r>
    </w:p>
    <w:p w:rsidR="00BA0DE6" w:rsidRPr="00800619" w:rsidRDefault="00BA0DE6" w:rsidP="00773B2A">
      <w:pPr>
        <w:numPr>
          <w:ilvl w:val="0"/>
          <w:numId w:val="36"/>
        </w:numPr>
        <w:spacing w:after="120"/>
        <w:ind w:right="-86"/>
        <w:jc w:val="both"/>
        <w:rPr>
          <w:rFonts w:ascii="Calibri" w:hAnsi="Calibri" w:cs="Calibri"/>
          <w:sz w:val="22"/>
          <w:szCs w:val="22"/>
        </w:rPr>
      </w:pPr>
      <w:r w:rsidRPr="00800619">
        <w:rPr>
          <w:rFonts w:ascii="Calibri" w:hAnsi="Calibri" w:cs="Calibri"/>
          <w:sz w:val="22"/>
          <w:szCs w:val="22"/>
        </w:rPr>
        <w:t xml:space="preserve">il </w:t>
      </w:r>
      <w:r>
        <w:rPr>
          <w:rFonts w:ascii="Calibri" w:hAnsi="Calibri" w:cs="Calibri"/>
          <w:sz w:val="22"/>
          <w:szCs w:val="22"/>
        </w:rPr>
        <w:t>versamento da parte di UBI</w:t>
      </w:r>
      <w:r w:rsidRPr="00800619">
        <w:rPr>
          <w:rFonts w:ascii="Calibri" w:hAnsi="Calibri" w:cs="Calibri"/>
          <w:sz w:val="22"/>
          <w:szCs w:val="22"/>
        </w:rPr>
        <w:t xml:space="preserve"> Banca e del Dipendente, delle rispettive contribuzioni secondo le aliquote ed i criteri vigenti in UBI Banca o di quelle eventualmente superiori nelle misure effettivamente versate sulle</w:t>
      </w:r>
      <w:r>
        <w:rPr>
          <w:rFonts w:ascii="Calibri" w:hAnsi="Calibri" w:cs="Calibri"/>
          <w:sz w:val="22"/>
          <w:szCs w:val="22"/>
        </w:rPr>
        <w:t xml:space="preserve"> singole posizioni individuali.</w:t>
      </w:r>
    </w:p>
    <w:p w:rsidR="00BA0DE6" w:rsidRDefault="00BA0DE6" w:rsidP="00773B2A">
      <w:pPr>
        <w:pStyle w:val="ListParagraph"/>
        <w:spacing w:before="120"/>
        <w:ind w:left="0"/>
        <w:jc w:val="both"/>
        <w:rPr>
          <w:rFonts w:ascii="Calibri" w:hAnsi="Calibri" w:cs="Calibri"/>
          <w:sz w:val="22"/>
          <w:szCs w:val="22"/>
        </w:rPr>
      </w:pPr>
      <w:r>
        <w:rPr>
          <w:rFonts w:ascii="Calibri" w:hAnsi="Calibri" w:cs="Calibri"/>
          <w:sz w:val="22"/>
          <w:szCs w:val="22"/>
        </w:rPr>
        <w:t xml:space="preserve">In assenza dell’opzione di cui sopra, i Dipendenti in esame manterranno l’associazione alla Forma di Previdenza Complementare cui sono attualmente iscritti fermo restando, da parte di UBI Banca e del Dipendente, il versamento delle rispettive contribuzioni secondo le aliquote e i criteri attualmente vigenti presso la società incorporante o di quelle eventualmente superiori nelle misure effettivamente versate sulle singole posizioni individuali. </w:t>
      </w:r>
    </w:p>
    <w:p w:rsidR="00BA0DE6" w:rsidRDefault="00BA0DE6" w:rsidP="00773B2A">
      <w:pPr>
        <w:pStyle w:val="ListParagraph"/>
        <w:spacing w:before="120"/>
        <w:ind w:left="0"/>
        <w:jc w:val="both"/>
        <w:rPr>
          <w:rFonts w:ascii="Calibri" w:hAnsi="Calibri" w:cs="Calibri"/>
          <w:sz w:val="22"/>
          <w:szCs w:val="22"/>
        </w:rPr>
      </w:pPr>
      <w:r>
        <w:rPr>
          <w:rFonts w:ascii="Calibri" w:hAnsi="Calibri" w:cs="Calibri"/>
          <w:sz w:val="22"/>
          <w:szCs w:val="22"/>
        </w:rPr>
        <w:t>In entrambi i casi, qualora il contributo alla previdenza complementare attualmente versato sulle singole posizioni dovesse risultare superiore alle misure vigenti presso la incorporante, lo stesso è da considerarsi assorbibile, fino a concorrenza, da eventuali futuri incrementi contributivi presso UBI Banca in materia di previdenza derivanti da qualsiasi titolo, ragione o causa.</w:t>
      </w:r>
    </w:p>
    <w:p w:rsidR="00BA0DE6" w:rsidRDefault="00BA0DE6" w:rsidP="00773B2A">
      <w:pPr>
        <w:ind w:right="-86"/>
        <w:rPr>
          <w:rFonts w:ascii="Calibri" w:hAnsi="Calibri" w:cs="Calibri"/>
          <w:sz w:val="22"/>
          <w:szCs w:val="22"/>
          <w:highlight w:val="lightGray"/>
        </w:rPr>
      </w:pPr>
    </w:p>
    <w:p w:rsidR="00BA0DE6" w:rsidRDefault="00BA0DE6" w:rsidP="00773B2A">
      <w:pPr>
        <w:ind w:right="-86"/>
        <w:jc w:val="center"/>
        <w:rPr>
          <w:rFonts w:ascii="Calibri" w:hAnsi="Calibri" w:cs="Calibri"/>
          <w:sz w:val="22"/>
          <w:szCs w:val="22"/>
        </w:rPr>
      </w:pPr>
      <w:r>
        <w:rPr>
          <w:rFonts w:ascii="Calibri" w:hAnsi="Calibri" w:cs="Calibri"/>
          <w:sz w:val="22"/>
          <w:szCs w:val="22"/>
        </w:rPr>
        <w:t>Art. 4</w:t>
      </w:r>
    </w:p>
    <w:p w:rsidR="00BA0DE6" w:rsidRDefault="00BA0DE6" w:rsidP="00773B2A">
      <w:pPr>
        <w:spacing w:after="80"/>
        <w:ind w:right="-86"/>
        <w:jc w:val="center"/>
        <w:rPr>
          <w:rFonts w:ascii="Calibri" w:hAnsi="Calibri" w:cs="Calibri"/>
          <w:i/>
          <w:iCs/>
          <w:sz w:val="22"/>
          <w:szCs w:val="22"/>
        </w:rPr>
      </w:pPr>
      <w:r>
        <w:rPr>
          <w:rFonts w:ascii="Calibri" w:hAnsi="Calibri" w:cs="Calibri"/>
          <w:i/>
          <w:iCs/>
          <w:sz w:val="22"/>
          <w:szCs w:val="22"/>
        </w:rPr>
        <w:t xml:space="preserve">Assistenza Sanitaria </w:t>
      </w:r>
    </w:p>
    <w:p w:rsidR="00BA0DE6" w:rsidRDefault="00BA0DE6" w:rsidP="00773B2A">
      <w:pPr>
        <w:spacing w:before="60"/>
        <w:ind w:right="-86"/>
        <w:jc w:val="both"/>
        <w:rPr>
          <w:rFonts w:ascii="Calibri" w:hAnsi="Calibri" w:cs="Calibri"/>
          <w:sz w:val="22"/>
          <w:szCs w:val="22"/>
        </w:rPr>
      </w:pPr>
      <w:r>
        <w:rPr>
          <w:rFonts w:ascii="Calibri" w:hAnsi="Calibri" w:cs="Calibri"/>
          <w:sz w:val="22"/>
          <w:szCs w:val="22"/>
        </w:rPr>
        <w:t>Relativamente alle forme di assistenza sanitaria, i Dipendenti destinati a passare a UBI Banca in virtù dell’operazione in esame manterranno, fino al 31/12/2012, la copertura attualmente in essere presso SILF.</w:t>
      </w:r>
    </w:p>
    <w:p w:rsidR="00BA0DE6" w:rsidRDefault="00BA0DE6" w:rsidP="00773B2A">
      <w:pPr>
        <w:spacing w:before="60"/>
        <w:ind w:right="-86"/>
        <w:jc w:val="both"/>
        <w:rPr>
          <w:rFonts w:ascii="Calibri" w:hAnsi="Calibri" w:cs="Calibri"/>
          <w:sz w:val="22"/>
          <w:szCs w:val="22"/>
        </w:rPr>
      </w:pPr>
      <w:r>
        <w:rPr>
          <w:rFonts w:ascii="Calibri" w:hAnsi="Calibri" w:cs="Calibri"/>
          <w:sz w:val="22"/>
          <w:szCs w:val="22"/>
        </w:rPr>
        <w:t>A decorrere dal 1/1/2013, i dipendenti di cui sopra saranno destinatari della forma di assistenza sanitaria di riferimento per il personale di UBI.</w:t>
      </w:r>
    </w:p>
    <w:p w:rsidR="00BA0DE6" w:rsidRDefault="00BA0DE6" w:rsidP="00773B2A">
      <w:pPr>
        <w:spacing w:before="60"/>
        <w:ind w:right="-86"/>
        <w:jc w:val="both"/>
        <w:rPr>
          <w:rFonts w:ascii="Calibri" w:hAnsi="Calibri" w:cs="Calibri"/>
          <w:b/>
          <w:bCs/>
          <w:sz w:val="22"/>
          <w:szCs w:val="22"/>
          <w:u w:val="single"/>
        </w:rPr>
      </w:pPr>
    </w:p>
    <w:p w:rsidR="00BA0DE6" w:rsidRDefault="00BA0DE6" w:rsidP="00773B2A">
      <w:pPr>
        <w:ind w:right="-86"/>
        <w:jc w:val="center"/>
        <w:rPr>
          <w:rFonts w:ascii="Calibri" w:hAnsi="Calibri" w:cs="Calibri"/>
          <w:sz w:val="22"/>
          <w:szCs w:val="22"/>
        </w:rPr>
      </w:pPr>
      <w:r>
        <w:rPr>
          <w:rFonts w:ascii="Calibri" w:hAnsi="Calibri" w:cs="Calibri"/>
          <w:sz w:val="22"/>
          <w:szCs w:val="22"/>
        </w:rPr>
        <w:t>Art. 5</w:t>
      </w:r>
    </w:p>
    <w:p w:rsidR="00BA0DE6" w:rsidRDefault="00BA0DE6" w:rsidP="00773B2A">
      <w:pPr>
        <w:spacing w:after="80"/>
        <w:ind w:right="-86"/>
        <w:jc w:val="center"/>
        <w:rPr>
          <w:rFonts w:ascii="Calibri" w:hAnsi="Calibri" w:cs="Calibri"/>
          <w:i/>
          <w:iCs/>
          <w:sz w:val="22"/>
          <w:szCs w:val="22"/>
        </w:rPr>
      </w:pPr>
      <w:r>
        <w:rPr>
          <w:rFonts w:ascii="Calibri" w:hAnsi="Calibri" w:cs="Calibri"/>
          <w:i/>
          <w:iCs/>
          <w:sz w:val="22"/>
          <w:szCs w:val="22"/>
        </w:rPr>
        <w:t>Polizze Assicurative</w:t>
      </w:r>
    </w:p>
    <w:p w:rsidR="00BA0DE6" w:rsidRDefault="00BA0DE6" w:rsidP="00773B2A">
      <w:pPr>
        <w:spacing w:after="60"/>
        <w:ind w:right="-86"/>
        <w:jc w:val="both"/>
        <w:rPr>
          <w:rFonts w:ascii="Calibri" w:hAnsi="Calibri" w:cs="Calibri"/>
          <w:sz w:val="22"/>
          <w:szCs w:val="22"/>
        </w:rPr>
      </w:pPr>
      <w:r>
        <w:rPr>
          <w:rFonts w:ascii="Calibri" w:hAnsi="Calibri" w:cs="Calibri"/>
          <w:sz w:val="22"/>
          <w:szCs w:val="22"/>
        </w:rPr>
        <w:t>Per ciò che concerne le coperture assicurative contro gli infortuni professionali ed extraprofessionali, i Dipendenti in esame manterranno, fino al 31/12/2012, gli strumenti assicurativi in essere presso SILF; a decorrere dal 1° gennaio 2013, alle Risorse di cui sopra, saranno applicate le coperture assicurative contro gli infortuni in essere per i Dipendenti di UBI.</w:t>
      </w:r>
    </w:p>
    <w:p w:rsidR="00BA0DE6" w:rsidRDefault="00BA0DE6" w:rsidP="00773B2A">
      <w:pPr>
        <w:spacing w:after="60"/>
        <w:ind w:right="-86"/>
        <w:jc w:val="both"/>
        <w:rPr>
          <w:rFonts w:ascii="Calibri" w:hAnsi="Calibri"/>
          <w:sz w:val="22"/>
          <w:szCs w:val="22"/>
        </w:rPr>
      </w:pPr>
      <w:r>
        <w:rPr>
          <w:rFonts w:ascii="Calibri" w:hAnsi="Calibri" w:cs="Calibri"/>
          <w:sz w:val="22"/>
          <w:szCs w:val="22"/>
        </w:rPr>
        <w:t xml:space="preserve">Per ciò che concerne la copertura assicurativa Temporanea Caso Morte (TCM), i Dipendenti in esame, con decorrenza dal 1° gennaio 2013, saranno destinatari della polizza in essere per i dipendenti di </w:t>
      </w:r>
      <w:r>
        <w:rPr>
          <w:rFonts w:ascii="Calibri" w:hAnsi="Calibri"/>
          <w:sz w:val="22"/>
          <w:szCs w:val="22"/>
        </w:rPr>
        <w:t>UBI Banca.</w:t>
      </w:r>
    </w:p>
    <w:p w:rsidR="00BA0DE6" w:rsidRDefault="00BA0DE6" w:rsidP="00773B2A">
      <w:pPr>
        <w:spacing w:after="60"/>
        <w:ind w:right="-86"/>
        <w:jc w:val="both"/>
        <w:rPr>
          <w:rFonts w:ascii="Calibri" w:hAnsi="Calibri"/>
          <w:sz w:val="22"/>
          <w:szCs w:val="22"/>
        </w:rPr>
      </w:pPr>
    </w:p>
    <w:p w:rsidR="00BA0DE6" w:rsidRDefault="00BA0DE6" w:rsidP="007A15C9">
      <w:pPr>
        <w:ind w:right="-86"/>
        <w:jc w:val="center"/>
        <w:rPr>
          <w:rFonts w:ascii="Calibri" w:hAnsi="Calibri" w:cs="Calibri"/>
          <w:sz w:val="22"/>
          <w:szCs w:val="22"/>
        </w:rPr>
      </w:pPr>
      <w:r>
        <w:rPr>
          <w:rFonts w:ascii="Calibri" w:hAnsi="Calibri" w:cs="Calibri"/>
          <w:sz w:val="22"/>
          <w:szCs w:val="22"/>
        </w:rPr>
        <w:t>Art. 6</w:t>
      </w:r>
    </w:p>
    <w:p w:rsidR="00BA0DE6" w:rsidRDefault="00BA0DE6" w:rsidP="007A15C9">
      <w:pPr>
        <w:spacing w:after="80"/>
        <w:ind w:right="-86"/>
        <w:jc w:val="center"/>
        <w:rPr>
          <w:rFonts w:ascii="Calibri" w:hAnsi="Calibri" w:cs="Calibri"/>
          <w:i/>
          <w:iCs/>
          <w:sz w:val="22"/>
          <w:szCs w:val="22"/>
        </w:rPr>
      </w:pPr>
      <w:r>
        <w:rPr>
          <w:rFonts w:ascii="Calibri" w:hAnsi="Calibri" w:cs="Calibri"/>
          <w:i/>
          <w:iCs/>
          <w:sz w:val="22"/>
          <w:szCs w:val="22"/>
        </w:rPr>
        <w:t>Mobilità territoriale</w:t>
      </w:r>
    </w:p>
    <w:p w:rsidR="00BA0DE6" w:rsidRDefault="00BA0DE6" w:rsidP="00773B2A">
      <w:pPr>
        <w:spacing w:after="60"/>
        <w:ind w:right="-86"/>
        <w:jc w:val="both"/>
        <w:rPr>
          <w:rFonts w:ascii="Calibri" w:hAnsi="Calibri"/>
          <w:sz w:val="22"/>
          <w:szCs w:val="22"/>
        </w:rPr>
      </w:pPr>
      <w:r>
        <w:rPr>
          <w:rFonts w:ascii="Calibri" w:hAnsi="Calibri"/>
          <w:sz w:val="22"/>
          <w:szCs w:val="22"/>
        </w:rPr>
        <w:t>Con riferimento alle Risorse in forza alla data del presente accordo presso SILF (forza lavoro) che, in relazione all’operazione in oggetto potrebbero essere interessati da processi di mobilità territoriale, viene confermata la massima attenzione al fine di contenere, per quanto possibile, la mobilità medesima, anche adottando soluzioni che tengano in considerazione le particolari situazioni personali e familiari, che saranno valutate in modo approfondito.</w:t>
      </w:r>
    </w:p>
    <w:p w:rsidR="00BA0DE6" w:rsidRDefault="00BA0DE6" w:rsidP="00773B2A">
      <w:pPr>
        <w:spacing w:after="60"/>
        <w:ind w:right="-86"/>
        <w:jc w:val="both"/>
        <w:rPr>
          <w:rFonts w:ascii="Calibri" w:hAnsi="Calibri"/>
          <w:sz w:val="22"/>
          <w:szCs w:val="22"/>
        </w:rPr>
      </w:pPr>
      <w:r>
        <w:rPr>
          <w:rFonts w:ascii="Calibri" w:hAnsi="Calibri"/>
          <w:sz w:val="22"/>
          <w:szCs w:val="22"/>
        </w:rPr>
        <w:t>A favore del personale di cui al paragrafo che precede, l’azienda si impegna, fatte salve le previsioni migliorative del CCNL,  a non disporre il trasferimento del lavoratore ad oltre 75 km di distanza dalla sua residenza senza il consenso dell’interessato, salvo che ricorra il caso di comprovata ed infungibile esigenza di servizio. I dipendenti in part time, ove presenti tra il personale in esame, non verranno interessati senza il loro consenso alla mobilità che comporti distanze superiori a 50 km a/r tra il luogo di lavoro e la residenza dell’interessato.</w:t>
      </w:r>
    </w:p>
    <w:p w:rsidR="00BA0DE6" w:rsidRDefault="00BA0DE6" w:rsidP="00773B2A">
      <w:pPr>
        <w:spacing w:after="60"/>
        <w:ind w:right="-86"/>
        <w:jc w:val="both"/>
        <w:rPr>
          <w:rFonts w:ascii="Calibri" w:hAnsi="Calibri"/>
          <w:sz w:val="22"/>
          <w:szCs w:val="22"/>
        </w:rPr>
      </w:pPr>
      <w:r>
        <w:rPr>
          <w:rFonts w:ascii="Calibri" w:hAnsi="Calibri"/>
          <w:sz w:val="22"/>
          <w:szCs w:val="22"/>
        </w:rPr>
        <w:t>A favore di tutto il personale di SILF saranno riconosciute, in via eccezionale ed irripetibile e comunque con riferimento ai trasferimenti disposti dalla data del presente accordo ed entro 3 mesi dalla data di efficacia giuridica dell’operazione di incorporazione di SILF in Capogruppo:</w:t>
      </w:r>
    </w:p>
    <w:p w:rsidR="00BA0DE6" w:rsidRDefault="00BA0DE6" w:rsidP="00942452">
      <w:pPr>
        <w:pStyle w:val="ListParagraph"/>
        <w:numPr>
          <w:ilvl w:val="0"/>
          <w:numId w:val="47"/>
        </w:numPr>
        <w:spacing w:after="60"/>
        <w:ind w:left="426" w:right="-86" w:hanging="426"/>
        <w:jc w:val="both"/>
        <w:rPr>
          <w:rFonts w:ascii="Calibri" w:hAnsi="Calibri"/>
          <w:sz w:val="22"/>
          <w:szCs w:val="22"/>
        </w:rPr>
      </w:pPr>
      <w:r>
        <w:rPr>
          <w:rFonts w:ascii="Calibri" w:hAnsi="Calibri"/>
          <w:sz w:val="22"/>
          <w:szCs w:val="22"/>
        </w:rPr>
        <w:t>in caso  di trasferimento disposto dall’azienda ad un punto operativo più distante dalla residenza del dipendente rispetto all’attuale sede di lavoro, i seguenti importi una tantum da erogare in unica soluzione:</w:t>
      </w:r>
    </w:p>
    <w:p w:rsidR="00BA0DE6" w:rsidRDefault="00BA0DE6" w:rsidP="00942452">
      <w:pPr>
        <w:pStyle w:val="ListParagraph"/>
        <w:numPr>
          <w:ilvl w:val="0"/>
          <w:numId w:val="48"/>
        </w:numPr>
        <w:spacing w:after="60"/>
        <w:ind w:right="-86"/>
        <w:jc w:val="both"/>
        <w:rPr>
          <w:rFonts w:ascii="Calibri" w:hAnsi="Calibri"/>
          <w:sz w:val="22"/>
          <w:szCs w:val="22"/>
        </w:rPr>
      </w:pPr>
      <w:r>
        <w:rPr>
          <w:rFonts w:ascii="Calibri" w:hAnsi="Calibri"/>
          <w:sz w:val="22"/>
          <w:szCs w:val="22"/>
        </w:rPr>
        <w:t>da 35 a 45 km</w:t>
      </w:r>
      <w:r>
        <w:rPr>
          <w:rFonts w:ascii="Calibri" w:hAnsi="Calibri"/>
          <w:sz w:val="22"/>
          <w:szCs w:val="22"/>
        </w:rPr>
        <w:tab/>
      </w:r>
      <w:r>
        <w:rPr>
          <w:rFonts w:ascii="Calibri" w:hAnsi="Calibri"/>
          <w:sz w:val="22"/>
          <w:szCs w:val="22"/>
        </w:rPr>
        <w:tab/>
      </w:r>
      <w:r>
        <w:rPr>
          <w:rFonts w:ascii="Calibri" w:hAnsi="Calibri"/>
          <w:sz w:val="22"/>
          <w:szCs w:val="22"/>
        </w:rPr>
        <w:tab/>
        <w:t>a/r</w:t>
      </w:r>
      <w:r>
        <w:rPr>
          <w:rFonts w:ascii="Calibri" w:hAnsi="Calibri"/>
          <w:sz w:val="22"/>
          <w:szCs w:val="22"/>
        </w:rPr>
        <w:tab/>
      </w:r>
      <w:r>
        <w:rPr>
          <w:rFonts w:ascii="Calibri" w:hAnsi="Calibri"/>
          <w:sz w:val="22"/>
          <w:szCs w:val="22"/>
        </w:rPr>
        <w:tab/>
      </w:r>
      <w:r>
        <w:rPr>
          <w:rFonts w:ascii="Calibri" w:hAnsi="Calibri"/>
          <w:sz w:val="22"/>
          <w:szCs w:val="22"/>
        </w:rPr>
        <w:tab/>
        <w:t>€190,00</w:t>
      </w:r>
    </w:p>
    <w:p w:rsidR="00BA0DE6" w:rsidRDefault="00BA0DE6" w:rsidP="00942452">
      <w:pPr>
        <w:pStyle w:val="ListParagraph"/>
        <w:numPr>
          <w:ilvl w:val="0"/>
          <w:numId w:val="48"/>
        </w:numPr>
        <w:spacing w:after="60"/>
        <w:ind w:right="-86"/>
        <w:jc w:val="both"/>
        <w:rPr>
          <w:rFonts w:ascii="Calibri" w:hAnsi="Calibri"/>
          <w:sz w:val="22"/>
          <w:szCs w:val="22"/>
        </w:rPr>
      </w:pPr>
      <w:r>
        <w:rPr>
          <w:rFonts w:ascii="Calibri" w:hAnsi="Calibri"/>
          <w:sz w:val="22"/>
          <w:szCs w:val="22"/>
        </w:rPr>
        <w:t xml:space="preserve">da 46 a 55 km </w:t>
      </w:r>
      <w:r>
        <w:rPr>
          <w:rFonts w:ascii="Calibri" w:hAnsi="Calibri"/>
          <w:sz w:val="22"/>
          <w:szCs w:val="22"/>
        </w:rPr>
        <w:tab/>
      </w:r>
      <w:r>
        <w:rPr>
          <w:rFonts w:ascii="Calibri" w:hAnsi="Calibri"/>
          <w:sz w:val="22"/>
          <w:szCs w:val="22"/>
        </w:rPr>
        <w:tab/>
      </w:r>
      <w:r>
        <w:rPr>
          <w:rFonts w:ascii="Calibri" w:hAnsi="Calibri"/>
          <w:sz w:val="22"/>
          <w:szCs w:val="22"/>
        </w:rPr>
        <w:tab/>
        <w:t>a/r</w:t>
      </w:r>
      <w:r>
        <w:rPr>
          <w:rFonts w:ascii="Calibri" w:hAnsi="Calibri"/>
          <w:sz w:val="22"/>
          <w:szCs w:val="22"/>
        </w:rPr>
        <w:tab/>
      </w:r>
      <w:r>
        <w:rPr>
          <w:rFonts w:ascii="Calibri" w:hAnsi="Calibri"/>
          <w:sz w:val="22"/>
          <w:szCs w:val="22"/>
        </w:rPr>
        <w:tab/>
      </w:r>
      <w:r>
        <w:rPr>
          <w:rFonts w:ascii="Calibri" w:hAnsi="Calibri"/>
          <w:sz w:val="22"/>
          <w:szCs w:val="22"/>
        </w:rPr>
        <w:tab/>
        <w:t>€350,00</w:t>
      </w:r>
    </w:p>
    <w:p w:rsidR="00BA0DE6" w:rsidRDefault="00BA0DE6" w:rsidP="00942452">
      <w:pPr>
        <w:pStyle w:val="ListParagraph"/>
        <w:numPr>
          <w:ilvl w:val="0"/>
          <w:numId w:val="48"/>
        </w:numPr>
        <w:spacing w:after="60"/>
        <w:ind w:right="-86"/>
        <w:jc w:val="both"/>
        <w:rPr>
          <w:rFonts w:ascii="Calibri" w:hAnsi="Calibri"/>
          <w:sz w:val="22"/>
          <w:szCs w:val="22"/>
        </w:rPr>
      </w:pPr>
      <w:r>
        <w:rPr>
          <w:rFonts w:ascii="Calibri" w:hAnsi="Calibri"/>
          <w:sz w:val="22"/>
          <w:szCs w:val="22"/>
        </w:rPr>
        <w:t>da 56 a 65 km</w:t>
      </w:r>
      <w:r>
        <w:rPr>
          <w:rFonts w:ascii="Calibri" w:hAnsi="Calibri"/>
          <w:sz w:val="22"/>
          <w:szCs w:val="22"/>
        </w:rPr>
        <w:tab/>
      </w:r>
      <w:r>
        <w:rPr>
          <w:rFonts w:ascii="Calibri" w:hAnsi="Calibri"/>
          <w:sz w:val="22"/>
          <w:szCs w:val="22"/>
        </w:rPr>
        <w:tab/>
      </w:r>
      <w:r>
        <w:rPr>
          <w:rFonts w:ascii="Calibri" w:hAnsi="Calibri"/>
          <w:sz w:val="22"/>
          <w:szCs w:val="22"/>
        </w:rPr>
        <w:tab/>
        <w:t>a/r</w:t>
      </w:r>
      <w:r>
        <w:rPr>
          <w:rFonts w:ascii="Calibri" w:hAnsi="Calibri"/>
          <w:sz w:val="22"/>
          <w:szCs w:val="22"/>
        </w:rPr>
        <w:tab/>
      </w:r>
      <w:r>
        <w:rPr>
          <w:rFonts w:ascii="Calibri" w:hAnsi="Calibri"/>
          <w:sz w:val="22"/>
          <w:szCs w:val="22"/>
        </w:rPr>
        <w:tab/>
      </w:r>
      <w:r>
        <w:rPr>
          <w:rFonts w:ascii="Calibri" w:hAnsi="Calibri"/>
          <w:sz w:val="22"/>
          <w:szCs w:val="22"/>
        </w:rPr>
        <w:tab/>
        <w:t>€1.500,00</w:t>
      </w:r>
    </w:p>
    <w:p w:rsidR="00BA0DE6" w:rsidRDefault="00BA0DE6" w:rsidP="00942452">
      <w:pPr>
        <w:pStyle w:val="ListParagraph"/>
        <w:numPr>
          <w:ilvl w:val="0"/>
          <w:numId w:val="48"/>
        </w:numPr>
        <w:spacing w:after="60"/>
        <w:ind w:right="-86"/>
        <w:jc w:val="both"/>
        <w:rPr>
          <w:rFonts w:ascii="Calibri" w:hAnsi="Calibri"/>
          <w:sz w:val="22"/>
          <w:szCs w:val="22"/>
        </w:rPr>
      </w:pPr>
      <w:r>
        <w:rPr>
          <w:rFonts w:ascii="Calibri" w:hAnsi="Calibri"/>
          <w:sz w:val="22"/>
          <w:szCs w:val="22"/>
        </w:rPr>
        <w:t>da 66 a 80 km</w:t>
      </w:r>
      <w:r>
        <w:rPr>
          <w:rFonts w:ascii="Calibri" w:hAnsi="Calibri"/>
          <w:sz w:val="22"/>
          <w:szCs w:val="22"/>
        </w:rPr>
        <w:tab/>
      </w:r>
      <w:r>
        <w:rPr>
          <w:rFonts w:ascii="Calibri" w:hAnsi="Calibri"/>
          <w:sz w:val="22"/>
          <w:szCs w:val="22"/>
        </w:rPr>
        <w:tab/>
      </w:r>
      <w:r>
        <w:rPr>
          <w:rFonts w:ascii="Calibri" w:hAnsi="Calibri"/>
          <w:sz w:val="22"/>
          <w:szCs w:val="22"/>
        </w:rPr>
        <w:tab/>
        <w:t>a/r</w:t>
      </w:r>
      <w:r>
        <w:rPr>
          <w:rFonts w:ascii="Calibri" w:hAnsi="Calibri"/>
          <w:sz w:val="22"/>
          <w:szCs w:val="22"/>
        </w:rPr>
        <w:tab/>
      </w:r>
      <w:r>
        <w:rPr>
          <w:rFonts w:ascii="Calibri" w:hAnsi="Calibri"/>
          <w:sz w:val="22"/>
          <w:szCs w:val="22"/>
        </w:rPr>
        <w:tab/>
      </w:r>
      <w:r>
        <w:rPr>
          <w:rFonts w:ascii="Calibri" w:hAnsi="Calibri"/>
          <w:sz w:val="22"/>
          <w:szCs w:val="22"/>
        </w:rPr>
        <w:tab/>
        <w:t>€2.000,00</w:t>
      </w:r>
    </w:p>
    <w:p w:rsidR="00BA0DE6" w:rsidRDefault="00BA0DE6" w:rsidP="00942452">
      <w:pPr>
        <w:pStyle w:val="ListParagraph"/>
        <w:numPr>
          <w:ilvl w:val="0"/>
          <w:numId w:val="48"/>
        </w:numPr>
        <w:spacing w:after="60"/>
        <w:ind w:right="-86"/>
        <w:jc w:val="both"/>
        <w:rPr>
          <w:rFonts w:ascii="Calibri" w:hAnsi="Calibri"/>
          <w:sz w:val="22"/>
          <w:szCs w:val="22"/>
        </w:rPr>
      </w:pPr>
      <w:r>
        <w:rPr>
          <w:rFonts w:ascii="Calibri" w:hAnsi="Calibri"/>
          <w:sz w:val="22"/>
          <w:szCs w:val="22"/>
        </w:rPr>
        <w:t>da 81 a 100</w:t>
      </w:r>
      <w:r>
        <w:rPr>
          <w:rFonts w:ascii="Calibri" w:hAnsi="Calibri"/>
          <w:sz w:val="22"/>
          <w:szCs w:val="22"/>
        </w:rPr>
        <w:tab/>
      </w:r>
      <w:r>
        <w:rPr>
          <w:rFonts w:ascii="Calibri" w:hAnsi="Calibri"/>
          <w:sz w:val="22"/>
          <w:szCs w:val="22"/>
        </w:rPr>
        <w:tab/>
      </w:r>
      <w:r>
        <w:rPr>
          <w:rFonts w:ascii="Calibri" w:hAnsi="Calibri"/>
          <w:sz w:val="22"/>
          <w:szCs w:val="22"/>
        </w:rPr>
        <w:tab/>
        <w:t>a/r</w:t>
      </w:r>
      <w:r>
        <w:rPr>
          <w:rFonts w:ascii="Calibri" w:hAnsi="Calibri"/>
          <w:sz w:val="22"/>
          <w:szCs w:val="22"/>
        </w:rPr>
        <w:tab/>
      </w:r>
      <w:r>
        <w:rPr>
          <w:rFonts w:ascii="Calibri" w:hAnsi="Calibri"/>
          <w:sz w:val="22"/>
          <w:szCs w:val="22"/>
        </w:rPr>
        <w:tab/>
      </w:r>
      <w:r>
        <w:rPr>
          <w:rFonts w:ascii="Calibri" w:hAnsi="Calibri"/>
          <w:sz w:val="22"/>
          <w:szCs w:val="22"/>
        </w:rPr>
        <w:tab/>
        <w:t>€2.500,00</w:t>
      </w:r>
    </w:p>
    <w:p w:rsidR="00BA0DE6" w:rsidRDefault="00BA0DE6" w:rsidP="00942452">
      <w:pPr>
        <w:spacing w:after="60"/>
        <w:ind w:left="426" w:right="-86"/>
        <w:jc w:val="both"/>
        <w:rPr>
          <w:rFonts w:ascii="Calibri" w:hAnsi="Calibri"/>
          <w:sz w:val="22"/>
          <w:szCs w:val="22"/>
        </w:rPr>
      </w:pPr>
      <w:r>
        <w:rPr>
          <w:rFonts w:ascii="Calibri" w:hAnsi="Calibri"/>
          <w:sz w:val="22"/>
          <w:szCs w:val="22"/>
        </w:rPr>
        <w:t>Gli importi sopra citati sono maggiorati del 10% per i dipendenti appartenenti alla categoria dei Quadri Direttivi.</w:t>
      </w:r>
    </w:p>
    <w:p w:rsidR="00BA0DE6" w:rsidRDefault="00BA0DE6" w:rsidP="000E0E55">
      <w:pPr>
        <w:spacing w:after="60"/>
        <w:ind w:left="426" w:right="-86"/>
        <w:jc w:val="both"/>
        <w:rPr>
          <w:rFonts w:ascii="Calibri" w:hAnsi="Calibri"/>
          <w:sz w:val="22"/>
          <w:szCs w:val="22"/>
        </w:rPr>
      </w:pPr>
      <w:r>
        <w:rPr>
          <w:rFonts w:ascii="Calibri" w:hAnsi="Calibri"/>
          <w:sz w:val="22"/>
          <w:szCs w:val="22"/>
        </w:rPr>
        <w:t xml:space="preserve">La distanza viene calcolata in base al tragitto più breve tra l’indirizzo della residenza del lavoratore e l’indirizzo dell’unità organizzativa di destinazione. Il calcolo viene effettuato tramite l’utilizzo del sito </w:t>
      </w:r>
      <w:hyperlink r:id="rId7" w:history="1">
        <w:r w:rsidRPr="00891927">
          <w:rPr>
            <w:rStyle w:val="Hyperlink"/>
            <w:rFonts w:ascii="Calibri" w:hAnsi="Calibri"/>
            <w:sz w:val="22"/>
            <w:szCs w:val="22"/>
          </w:rPr>
          <w:t>www.viamichelin.com</w:t>
        </w:r>
      </w:hyperlink>
      <w:r>
        <w:rPr>
          <w:rFonts w:ascii="Calibri" w:hAnsi="Calibri"/>
          <w:sz w:val="22"/>
          <w:szCs w:val="22"/>
        </w:rPr>
        <w:t xml:space="preserve">. </w:t>
      </w:r>
    </w:p>
    <w:p w:rsidR="00BA0DE6" w:rsidRDefault="00BA0DE6" w:rsidP="000E0E55">
      <w:pPr>
        <w:spacing w:after="60"/>
        <w:ind w:left="426" w:right="-86"/>
        <w:jc w:val="both"/>
        <w:rPr>
          <w:rFonts w:ascii="Calibri" w:hAnsi="Calibri"/>
          <w:sz w:val="22"/>
          <w:szCs w:val="22"/>
        </w:rPr>
      </w:pPr>
      <w:r>
        <w:rPr>
          <w:rFonts w:ascii="Calibri" w:hAnsi="Calibri"/>
          <w:sz w:val="22"/>
          <w:szCs w:val="22"/>
        </w:rPr>
        <w:t>L’indennità viene corrisposta dopo che siano trascorsi 3 mesi dell’effettivo trasferimento del dipendente e a condizione che lo stesso rimanga assegnato all’unità organizzativa di destinazione.</w:t>
      </w:r>
    </w:p>
    <w:p w:rsidR="00BA0DE6" w:rsidRDefault="00BA0DE6" w:rsidP="000E0E55">
      <w:pPr>
        <w:spacing w:after="60"/>
        <w:ind w:left="426" w:right="-86"/>
        <w:jc w:val="both"/>
        <w:rPr>
          <w:rFonts w:ascii="Calibri" w:hAnsi="Calibri"/>
          <w:sz w:val="22"/>
          <w:szCs w:val="22"/>
        </w:rPr>
      </w:pPr>
    </w:p>
    <w:p w:rsidR="00BA0DE6" w:rsidRDefault="00BA0DE6" w:rsidP="00084806">
      <w:pPr>
        <w:pStyle w:val="ListParagraph"/>
        <w:numPr>
          <w:ilvl w:val="0"/>
          <w:numId w:val="47"/>
        </w:numPr>
        <w:spacing w:after="60"/>
        <w:ind w:left="426" w:right="-86" w:hanging="426"/>
        <w:jc w:val="both"/>
        <w:rPr>
          <w:rFonts w:ascii="Calibri" w:hAnsi="Calibri"/>
          <w:sz w:val="22"/>
          <w:szCs w:val="22"/>
        </w:rPr>
      </w:pPr>
      <w:r>
        <w:rPr>
          <w:rFonts w:ascii="Calibri" w:hAnsi="Calibri"/>
          <w:sz w:val="22"/>
          <w:szCs w:val="22"/>
        </w:rPr>
        <w:t>in caso  di trasferimento disposto dall’azienda che comporti un allontanamento di oltre 50 km (solo andata) dalla residenza, le seguenti indennità mensili:</w:t>
      </w:r>
    </w:p>
    <w:p w:rsidR="00BA0DE6" w:rsidRDefault="00BA0DE6" w:rsidP="00084806">
      <w:pPr>
        <w:pStyle w:val="ListParagraph"/>
        <w:numPr>
          <w:ilvl w:val="0"/>
          <w:numId w:val="49"/>
        </w:numPr>
        <w:spacing w:after="60"/>
        <w:ind w:right="-86"/>
        <w:jc w:val="both"/>
        <w:rPr>
          <w:rFonts w:ascii="Calibri" w:hAnsi="Calibri"/>
          <w:sz w:val="22"/>
          <w:szCs w:val="22"/>
        </w:rPr>
      </w:pPr>
      <w:r>
        <w:rPr>
          <w:rFonts w:ascii="Calibri" w:hAnsi="Calibri"/>
          <w:sz w:val="22"/>
          <w:szCs w:val="22"/>
        </w:rPr>
        <w:t>da 101 e fino a 120 km a/r</w:t>
      </w:r>
      <w:r>
        <w:rPr>
          <w:rFonts w:ascii="Calibri" w:hAnsi="Calibri"/>
          <w:sz w:val="22"/>
          <w:szCs w:val="22"/>
        </w:rPr>
        <w:tab/>
      </w:r>
      <w:r>
        <w:rPr>
          <w:rFonts w:ascii="Calibri" w:hAnsi="Calibri"/>
          <w:sz w:val="22"/>
          <w:szCs w:val="22"/>
        </w:rPr>
        <w:tab/>
      </w:r>
      <w:r>
        <w:rPr>
          <w:rFonts w:ascii="Calibri" w:hAnsi="Calibri"/>
          <w:sz w:val="22"/>
          <w:szCs w:val="22"/>
        </w:rPr>
        <w:tab/>
        <w:t>€200,00</w:t>
      </w:r>
    </w:p>
    <w:p w:rsidR="00BA0DE6" w:rsidRDefault="00BA0DE6" w:rsidP="00084806">
      <w:pPr>
        <w:pStyle w:val="ListParagraph"/>
        <w:numPr>
          <w:ilvl w:val="0"/>
          <w:numId w:val="49"/>
        </w:numPr>
        <w:spacing w:after="60"/>
        <w:ind w:right="-86"/>
        <w:jc w:val="both"/>
        <w:rPr>
          <w:rFonts w:ascii="Calibri" w:hAnsi="Calibri"/>
          <w:sz w:val="22"/>
          <w:szCs w:val="22"/>
        </w:rPr>
      </w:pPr>
      <w:r>
        <w:rPr>
          <w:rFonts w:ascii="Calibri" w:hAnsi="Calibri"/>
          <w:sz w:val="22"/>
          <w:szCs w:val="22"/>
        </w:rPr>
        <w:t>oltre 120 e fino a 150 km a/r</w:t>
      </w:r>
      <w:r>
        <w:rPr>
          <w:rFonts w:ascii="Calibri" w:hAnsi="Calibri"/>
          <w:sz w:val="22"/>
          <w:szCs w:val="22"/>
        </w:rPr>
        <w:tab/>
      </w:r>
      <w:r>
        <w:rPr>
          <w:rFonts w:ascii="Calibri" w:hAnsi="Calibri"/>
          <w:sz w:val="22"/>
          <w:szCs w:val="22"/>
        </w:rPr>
        <w:tab/>
      </w:r>
      <w:r>
        <w:rPr>
          <w:rFonts w:ascii="Calibri" w:hAnsi="Calibri"/>
          <w:sz w:val="22"/>
          <w:szCs w:val="22"/>
        </w:rPr>
        <w:tab/>
        <w:t>€400,00</w:t>
      </w:r>
    </w:p>
    <w:p w:rsidR="00BA0DE6" w:rsidRDefault="00BA0DE6" w:rsidP="00084806">
      <w:pPr>
        <w:pStyle w:val="ListParagraph"/>
        <w:numPr>
          <w:ilvl w:val="0"/>
          <w:numId w:val="49"/>
        </w:numPr>
        <w:spacing w:after="60"/>
        <w:ind w:right="-86"/>
        <w:jc w:val="both"/>
        <w:rPr>
          <w:rFonts w:ascii="Calibri" w:hAnsi="Calibri"/>
          <w:sz w:val="22"/>
          <w:szCs w:val="22"/>
        </w:rPr>
      </w:pPr>
      <w:r>
        <w:rPr>
          <w:rFonts w:ascii="Calibri" w:hAnsi="Calibri"/>
          <w:sz w:val="22"/>
          <w:szCs w:val="22"/>
        </w:rPr>
        <w:t>oltre 150 e fino a 200 km a/r</w:t>
      </w:r>
      <w:r>
        <w:rPr>
          <w:rFonts w:ascii="Calibri" w:hAnsi="Calibri"/>
          <w:sz w:val="22"/>
          <w:szCs w:val="22"/>
        </w:rPr>
        <w:tab/>
      </w:r>
      <w:r>
        <w:rPr>
          <w:rFonts w:ascii="Calibri" w:hAnsi="Calibri"/>
          <w:sz w:val="22"/>
          <w:szCs w:val="22"/>
        </w:rPr>
        <w:tab/>
      </w:r>
      <w:r>
        <w:rPr>
          <w:rFonts w:ascii="Calibri" w:hAnsi="Calibri"/>
          <w:sz w:val="22"/>
          <w:szCs w:val="22"/>
        </w:rPr>
        <w:tab/>
        <w:t>€500,00</w:t>
      </w:r>
    </w:p>
    <w:p w:rsidR="00BA0DE6" w:rsidRDefault="00BA0DE6" w:rsidP="00084806">
      <w:pPr>
        <w:pStyle w:val="ListParagraph"/>
        <w:numPr>
          <w:ilvl w:val="0"/>
          <w:numId w:val="49"/>
        </w:numPr>
        <w:spacing w:after="60"/>
        <w:ind w:right="-86"/>
        <w:jc w:val="both"/>
        <w:rPr>
          <w:rFonts w:ascii="Calibri" w:hAnsi="Calibri"/>
          <w:sz w:val="22"/>
          <w:szCs w:val="22"/>
        </w:rPr>
      </w:pPr>
      <w:r>
        <w:rPr>
          <w:rFonts w:ascii="Calibri" w:hAnsi="Calibri"/>
          <w:sz w:val="22"/>
          <w:szCs w:val="22"/>
        </w:rPr>
        <w:t>oltre 200 km a/r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€630,00</w:t>
      </w:r>
    </w:p>
    <w:p w:rsidR="00BA0DE6" w:rsidRPr="00084806" w:rsidRDefault="00BA0DE6" w:rsidP="00084806">
      <w:pPr>
        <w:spacing w:after="60"/>
        <w:ind w:left="426" w:right="-86"/>
        <w:jc w:val="both"/>
        <w:rPr>
          <w:rFonts w:ascii="Calibri" w:hAnsi="Calibri"/>
          <w:sz w:val="22"/>
          <w:szCs w:val="22"/>
        </w:rPr>
      </w:pPr>
      <w:r w:rsidRPr="00084806">
        <w:rPr>
          <w:rFonts w:ascii="Calibri" w:hAnsi="Calibri"/>
          <w:sz w:val="22"/>
          <w:szCs w:val="22"/>
        </w:rPr>
        <w:t>Gli importi sopra citati sono maggiorati del 10% per i dipendenti appartenenti alla categoria dei Quadri Direttivi.</w:t>
      </w:r>
    </w:p>
    <w:p w:rsidR="00BA0DE6" w:rsidRPr="00084806" w:rsidRDefault="00BA0DE6" w:rsidP="00084806">
      <w:pPr>
        <w:spacing w:after="60"/>
        <w:ind w:left="426" w:right="-86"/>
        <w:jc w:val="both"/>
        <w:rPr>
          <w:rFonts w:ascii="Calibri" w:hAnsi="Calibri"/>
          <w:sz w:val="22"/>
          <w:szCs w:val="22"/>
        </w:rPr>
      </w:pPr>
      <w:r w:rsidRPr="00084806">
        <w:rPr>
          <w:rFonts w:ascii="Calibri" w:hAnsi="Calibri"/>
          <w:sz w:val="22"/>
          <w:szCs w:val="22"/>
        </w:rPr>
        <w:t xml:space="preserve">La distanza viene calcolata in base al tragitto più breve tra l’indirizzo della residenza del lavoratore e l’indirizzo dell’unità organizzativa di destinazione. Il calcolo viene effettuato tramite l’utilizzo del sito </w:t>
      </w:r>
      <w:hyperlink r:id="rId8" w:history="1">
        <w:r w:rsidRPr="00084806">
          <w:rPr>
            <w:rStyle w:val="Hyperlink"/>
            <w:rFonts w:ascii="Calibri" w:hAnsi="Calibri"/>
            <w:sz w:val="22"/>
            <w:szCs w:val="22"/>
          </w:rPr>
          <w:t>www.viamichelin.com</w:t>
        </w:r>
      </w:hyperlink>
      <w:r w:rsidRPr="00084806">
        <w:rPr>
          <w:rFonts w:ascii="Calibri" w:hAnsi="Calibri"/>
          <w:sz w:val="22"/>
          <w:szCs w:val="22"/>
        </w:rPr>
        <w:t xml:space="preserve">. </w:t>
      </w:r>
    </w:p>
    <w:p w:rsidR="00BA0DE6" w:rsidRDefault="00BA0DE6" w:rsidP="00084806">
      <w:pPr>
        <w:spacing w:after="60"/>
        <w:ind w:left="426" w:right="-86"/>
        <w:jc w:val="both"/>
        <w:rPr>
          <w:rFonts w:ascii="Calibri" w:hAnsi="Calibri"/>
          <w:sz w:val="22"/>
          <w:szCs w:val="22"/>
        </w:rPr>
      </w:pPr>
      <w:r>
        <w:rPr>
          <w:rFonts w:ascii="Calibri" w:hAnsi="Calibri"/>
          <w:sz w:val="22"/>
          <w:szCs w:val="22"/>
        </w:rPr>
        <w:t>L’indennità viene corrisposta per 12 mensilità annue, con decorrenza dal giorno del trasferimento e non è computata nella retribuzione utile al calcolo del TFR.</w:t>
      </w:r>
    </w:p>
    <w:p w:rsidR="00BA0DE6" w:rsidRPr="00430E72" w:rsidRDefault="00BA0DE6" w:rsidP="00291F10">
      <w:pPr>
        <w:spacing w:after="60"/>
        <w:ind w:left="426" w:right="-86"/>
        <w:jc w:val="both"/>
        <w:rPr>
          <w:rFonts w:ascii="Calibri" w:hAnsi="Calibri"/>
          <w:sz w:val="22"/>
          <w:szCs w:val="22"/>
        </w:rPr>
      </w:pPr>
      <w:r>
        <w:rPr>
          <w:rFonts w:ascii="Calibri" w:hAnsi="Calibri"/>
          <w:sz w:val="22"/>
          <w:szCs w:val="22"/>
        </w:rPr>
        <w:t>L’indennità non spetta in caso di assenza dal servizio superiore al mese che non sia dovuta a ferie o malattia o a maternità (limitatamente ai periodi di astensione obbligatoria) e la sua corresponsione cessa con il venir meno dei motivi che la giustificano o ove ricorra l’applicazione delle previsioni in materia di cui al CCNL.</w:t>
      </w:r>
    </w:p>
    <w:p w:rsidR="00BA0DE6" w:rsidRPr="000D74F6" w:rsidRDefault="00BA0DE6">
      <w:pPr>
        <w:spacing w:after="60"/>
        <w:ind w:right="-86"/>
        <w:jc w:val="both"/>
        <w:rPr>
          <w:rFonts w:ascii="Calibri" w:hAnsi="Calibri"/>
          <w:color w:val="FF0000"/>
          <w:sz w:val="22"/>
          <w:szCs w:val="22"/>
        </w:rPr>
      </w:pPr>
    </w:p>
    <w:p w:rsidR="00BA0DE6" w:rsidRPr="0064509B" w:rsidRDefault="00BA0DE6" w:rsidP="0034350D">
      <w:pPr>
        <w:ind w:right="-86"/>
        <w:jc w:val="center"/>
        <w:rPr>
          <w:rFonts w:ascii="Calibri" w:hAnsi="Calibri" w:cs="Helvetica"/>
          <w:sz w:val="22"/>
          <w:szCs w:val="22"/>
        </w:rPr>
      </w:pPr>
      <w:r>
        <w:rPr>
          <w:rFonts w:ascii="Calibri" w:hAnsi="Calibri" w:cs="Helvetica"/>
          <w:sz w:val="22"/>
          <w:szCs w:val="22"/>
        </w:rPr>
        <w:t>Art. 7</w:t>
      </w:r>
    </w:p>
    <w:p w:rsidR="00BA0DE6" w:rsidRPr="0064509B" w:rsidRDefault="00BA0DE6" w:rsidP="0034350D">
      <w:pPr>
        <w:spacing w:after="80"/>
        <w:ind w:right="-86"/>
        <w:jc w:val="center"/>
        <w:rPr>
          <w:rFonts w:ascii="Calibri" w:hAnsi="Calibri" w:cs="Helvetica"/>
          <w:i/>
          <w:sz w:val="22"/>
          <w:szCs w:val="22"/>
        </w:rPr>
      </w:pPr>
      <w:r w:rsidRPr="0064509B">
        <w:rPr>
          <w:rFonts w:ascii="Calibri" w:hAnsi="Calibri" w:cs="Helvetica"/>
          <w:i/>
          <w:sz w:val="22"/>
          <w:szCs w:val="22"/>
        </w:rPr>
        <w:t>Part time</w:t>
      </w:r>
    </w:p>
    <w:p w:rsidR="00BA0DE6" w:rsidRDefault="00BA0DE6" w:rsidP="0027192C">
      <w:pPr>
        <w:shd w:val="clear" w:color="auto" w:fill="FFFFFF"/>
        <w:ind w:right="13"/>
        <w:jc w:val="both"/>
        <w:rPr>
          <w:rFonts w:ascii="Calibri" w:hAnsi="Calibri" w:cs="Helvetica"/>
          <w:color w:val="FF0000"/>
          <w:sz w:val="22"/>
          <w:szCs w:val="22"/>
        </w:rPr>
      </w:pPr>
      <w:r w:rsidRPr="00CE4E58">
        <w:rPr>
          <w:rFonts w:ascii="Calibri" w:hAnsi="Calibri" w:cs="Helvetica"/>
          <w:sz w:val="22"/>
          <w:szCs w:val="22"/>
        </w:rPr>
        <w:t>Al personale interessato dall’operazione in oggetto con rapporto di lavoro a tempo parziale sarà mantenuto il contratto part-time in essere, con la stessa articolazione di orario fino alla naturale scadenza; saranno accolte le eventuali richieste di rinnovo di un ulteriore anno dei contratti in essere</w:t>
      </w:r>
      <w:r w:rsidRPr="000D74F6">
        <w:rPr>
          <w:rFonts w:ascii="Calibri" w:hAnsi="Calibri" w:cs="Helvetica"/>
          <w:color w:val="FF0000"/>
          <w:sz w:val="22"/>
          <w:szCs w:val="22"/>
        </w:rPr>
        <w:t>.</w:t>
      </w:r>
    </w:p>
    <w:p w:rsidR="00BA0DE6" w:rsidRDefault="00BA0DE6" w:rsidP="0027192C">
      <w:pPr>
        <w:shd w:val="clear" w:color="auto" w:fill="FFFFFF"/>
        <w:ind w:right="13"/>
        <w:jc w:val="both"/>
        <w:rPr>
          <w:rFonts w:ascii="Calibri" w:hAnsi="Calibri" w:cs="Helvetica"/>
          <w:color w:val="FF0000"/>
          <w:sz w:val="22"/>
          <w:szCs w:val="22"/>
        </w:rPr>
      </w:pPr>
    </w:p>
    <w:p w:rsidR="00BA0DE6" w:rsidRDefault="00BA0DE6" w:rsidP="0027192C">
      <w:pPr>
        <w:shd w:val="clear" w:color="auto" w:fill="FFFFFF"/>
        <w:ind w:right="13"/>
        <w:jc w:val="both"/>
        <w:rPr>
          <w:rFonts w:ascii="Calibri" w:hAnsi="Calibri" w:cs="Helvetica"/>
          <w:color w:val="FF0000"/>
          <w:sz w:val="22"/>
          <w:szCs w:val="22"/>
        </w:rPr>
      </w:pPr>
    </w:p>
    <w:p w:rsidR="00BA0DE6" w:rsidRPr="00C80B27" w:rsidRDefault="00BA0DE6" w:rsidP="00C80B27">
      <w:pPr>
        <w:ind w:right="-86"/>
        <w:jc w:val="center"/>
        <w:rPr>
          <w:rFonts w:ascii="Calibri" w:hAnsi="Calibri" w:cs="Helvetica"/>
          <w:sz w:val="22"/>
          <w:szCs w:val="22"/>
        </w:rPr>
      </w:pPr>
      <w:r>
        <w:rPr>
          <w:rFonts w:ascii="Calibri" w:hAnsi="Calibri" w:cs="Helvetica"/>
          <w:sz w:val="22"/>
          <w:szCs w:val="22"/>
        </w:rPr>
        <w:t>Art. 8</w:t>
      </w:r>
    </w:p>
    <w:p w:rsidR="00BA0DE6" w:rsidRPr="00C80B27" w:rsidRDefault="00BA0DE6" w:rsidP="00C80B27">
      <w:pPr>
        <w:spacing w:after="120"/>
        <w:ind w:right="-85"/>
        <w:jc w:val="center"/>
        <w:rPr>
          <w:rFonts w:ascii="Calibri" w:hAnsi="Calibri" w:cs="Helvetica"/>
          <w:i/>
          <w:sz w:val="22"/>
          <w:szCs w:val="22"/>
        </w:rPr>
      </w:pPr>
      <w:r w:rsidRPr="00C80B27">
        <w:rPr>
          <w:rFonts w:ascii="Calibri" w:hAnsi="Calibri" w:cs="Helvetica"/>
          <w:i/>
          <w:sz w:val="22"/>
          <w:szCs w:val="22"/>
        </w:rPr>
        <w:t>Premio Aziendale</w:t>
      </w:r>
    </w:p>
    <w:p w:rsidR="00BA0DE6" w:rsidRPr="00C80B27" w:rsidRDefault="00BA0DE6" w:rsidP="00C80B27">
      <w:pPr>
        <w:shd w:val="clear" w:color="auto" w:fill="FFFFFF"/>
        <w:spacing w:after="120"/>
        <w:ind w:right="-86"/>
        <w:jc w:val="both"/>
        <w:rPr>
          <w:rFonts w:ascii="Calibri" w:hAnsi="Calibri" w:cs="Helvetica"/>
          <w:sz w:val="22"/>
          <w:szCs w:val="22"/>
        </w:rPr>
      </w:pPr>
      <w:r w:rsidRPr="00C80B27">
        <w:rPr>
          <w:rFonts w:ascii="Calibri" w:hAnsi="Calibri" w:cs="Helvetica"/>
          <w:sz w:val="22"/>
          <w:szCs w:val="22"/>
        </w:rPr>
        <w:t>UBI Banca terrà a proprio carico, ove spettante, il Premio Aziendale relativo all’intero esercizio 2012, secondo i tempi, i criteri e le misure che saranno previsti presso UBI Banca dall’apposito accordo sul Premio aziendale sottoscritto tra le Parti.</w:t>
      </w:r>
    </w:p>
    <w:p w:rsidR="00BA0DE6" w:rsidRPr="000D74F6" w:rsidRDefault="00BA0DE6" w:rsidP="00BB1A1A">
      <w:pPr>
        <w:spacing w:after="60"/>
        <w:ind w:right="-85"/>
        <w:jc w:val="center"/>
        <w:rPr>
          <w:rFonts w:ascii="Calibri" w:hAnsi="Calibri" w:cs="Helvetica"/>
          <w:color w:val="FF0000"/>
          <w:sz w:val="22"/>
          <w:szCs w:val="22"/>
        </w:rPr>
      </w:pPr>
    </w:p>
    <w:p w:rsidR="00BA0DE6" w:rsidRPr="00C80B27" w:rsidRDefault="00BA0DE6" w:rsidP="00BB1A1A">
      <w:pPr>
        <w:spacing w:after="60"/>
        <w:ind w:right="-85"/>
        <w:jc w:val="center"/>
        <w:rPr>
          <w:rFonts w:ascii="Calibri" w:hAnsi="Calibri" w:cs="Helvetica"/>
          <w:sz w:val="22"/>
          <w:szCs w:val="22"/>
        </w:rPr>
      </w:pPr>
      <w:r>
        <w:rPr>
          <w:rFonts w:ascii="Calibri" w:hAnsi="Calibri" w:cs="Helvetica"/>
          <w:sz w:val="22"/>
          <w:szCs w:val="22"/>
        </w:rPr>
        <w:t>Art. 9</w:t>
      </w:r>
    </w:p>
    <w:p w:rsidR="00BA0DE6" w:rsidRPr="00C80B27" w:rsidRDefault="00BA0DE6" w:rsidP="00BB1A1A">
      <w:pPr>
        <w:ind w:right="251"/>
        <w:jc w:val="center"/>
        <w:rPr>
          <w:rFonts w:ascii="Calibri" w:hAnsi="Calibri" w:cs="Helvetica"/>
          <w:i/>
          <w:sz w:val="22"/>
          <w:szCs w:val="22"/>
        </w:rPr>
      </w:pPr>
      <w:r w:rsidRPr="00C80B27">
        <w:rPr>
          <w:rFonts w:ascii="Calibri" w:hAnsi="Calibri" w:cs="Helvetica"/>
          <w:i/>
          <w:sz w:val="22"/>
          <w:szCs w:val="22"/>
        </w:rPr>
        <w:t xml:space="preserve">Incontri di verifica </w:t>
      </w:r>
    </w:p>
    <w:p w:rsidR="00BA0DE6" w:rsidRPr="00C80B27" w:rsidRDefault="00BA0DE6" w:rsidP="009F09E6">
      <w:pPr>
        <w:shd w:val="clear" w:color="auto" w:fill="FFFFFF"/>
        <w:tabs>
          <w:tab w:val="num" w:pos="360"/>
        </w:tabs>
        <w:ind w:right="249"/>
        <w:jc w:val="both"/>
        <w:rPr>
          <w:rFonts w:ascii="Calibri" w:hAnsi="Calibri"/>
          <w:sz w:val="22"/>
          <w:szCs w:val="22"/>
        </w:rPr>
      </w:pPr>
      <w:r w:rsidRPr="00C80B27">
        <w:rPr>
          <w:rFonts w:ascii="Calibri" w:hAnsi="Calibri"/>
          <w:sz w:val="22"/>
          <w:szCs w:val="22"/>
        </w:rPr>
        <w:t>Su richiesta di una delle parti saranno effettuati incontri di verifica sull’applicazione di quanto previsto dal presente accordo.</w:t>
      </w:r>
    </w:p>
    <w:p w:rsidR="00BA0DE6" w:rsidRPr="00C80B27" w:rsidRDefault="00BA0DE6">
      <w:pPr>
        <w:ind w:right="-86"/>
        <w:jc w:val="center"/>
        <w:rPr>
          <w:rFonts w:ascii="Calibri" w:hAnsi="Calibri" w:cs="Helvetica"/>
          <w:sz w:val="22"/>
          <w:szCs w:val="22"/>
        </w:rPr>
      </w:pPr>
    </w:p>
    <w:p w:rsidR="00BA0DE6" w:rsidRPr="00C80B27" w:rsidRDefault="00BA0DE6">
      <w:pPr>
        <w:pStyle w:val="BodyText2"/>
        <w:ind w:right="-86"/>
        <w:rPr>
          <w:rFonts w:ascii="Calibri" w:hAnsi="Calibri"/>
          <w:sz w:val="22"/>
          <w:szCs w:val="22"/>
        </w:rPr>
      </w:pPr>
      <w:r w:rsidRPr="00C80B27">
        <w:rPr>
          <w:rFonts w:ascii="Calibri" w:hAnsi="Calibri"/>
          <w:sz w:val="22"/>
          <w:szCs w:val="22"/>
        </w:rPr>
        <w:t xml:space="preserve">Letto, approvato, sottoscritto. </w:t>
      </w:r>
    </w:p>
    <w:p w:rsidR="00BA0DE6" w:rsidRPr="000D74F6" w:rsidRDefault="00BA0DE6">
      <w:pPr>
        <w:pStyle w:val="BodyText2"/>
        <w:ind w:right="-86"/>
        <w:rPr>
          <w:rFonts w:ascii="Calibri" w:hAnsi="Calibri"/>
          <w:color w:val="FF0000"/>
          <w:sz w:val="22"/>
          <w:szCs w:val="22"/>
        </w:rPr>
      </w:pPr>
    </w:p>
    <w:p w:rsidR="00BA0DE6" w:rsidRPr="000D74F6" w:rsidRDefault="00BA0DE6">
      <w:pPr>
        <w:pStyle w:val="BodyText2"/>
        <w:ind w:right="-86"/>
        <w:rPr>
          <w:rFonts w:ascii="Calibri" w:hAnsi="Calibri"/>
          <w:color w:val="FF0000"/>
          <w:sz w:val="22"/>
          <w:szCs w:val="22"/>
        </w:rPr>
      </w:pPr>
    </w:p>
    <w:p w:rsidR="00BA0DE6" w:rsidRPr="00C80B27" w:rsidRDefault="00BA0DE6">
      <w:pPr>
        <w:ind w:right="-86"/>
        <w:jc w:val="center"/>
        <w:rPr>
          <w:rFonts w:ascii="Calibri" w:hAnsi="Calibri"/>
          <w:sz w:val="22"/>
          <w:szCs w:val="22"/>
        </w:rPr>
      </w:pPr>
      <w:r w:rsidRPr="00C80B27">
        <w:rPr>
          <w:rFonts w:ascii="Calibri" w:hAnsi="Calibri"/>
          <w:sz w:val="22"/>
          <w:szCs w:val="22"/>
        </w:rPr>
        <w:t>________________________________________________________________________________</w:t>
      </w:r>
    </w:p>
    <w:p w:rsidR="00BA0DE6" w:rsidRPr="00C80B27" w:rsidRDefault="00BA0DE6">
      <w:pPr>
        <w:tabs>
          <w:tab w:val="left" w:pos="2145"/>
        </w:tabs>
        <w:ind w:right="-86"/>
        <w:jc w:val="center"/>
        <w:rPr>
          <w:rFonts w:ascii="Calibri" w:hAnsi="Calibri" w:cs="Helvetica"/>
          <w:i/>
          <w:sz w:val="22"/>
          <w:szCs w:val="22"/>
        </w:rPr>
      </w:pPr>
      <w:r w:rsidRPr="00C80B27">
        <w:rPr>
          <w:rFonts w:ascii="Calibri" w:hAnsi="Calibri" w:cs="Helvetica"/>
          <w:i/>
          <w:sz w:val="22"/>
          <w:szCs w:val="22"/>
        </w:rPr>
        <w:t>SILF S.p.a.</w:t>
      </w:r>
    </w:p>
    <w:p w:rsidR="00BA0DE6" w:rsidRPr="00C80B27" w:rsidRDefault="00BA0DE6">
      <w:pPr>
        <w:tabs>
          <w:tab w:val="left" w:pos="2145"/>
        </w:tabs>
        <w:ind w:right="-86"/>
        <w:jc w:val="center"/>
        <w:rPr>
          <w:rFonts w:ascii="Calibri" w:hAnsi="Calibri" w:cs="Helvetica"/>
          <w:i/>
          <w:sz w:val="22"/>
          <w:szCs w:val="22"/>
        </w:rPr>
      </w:pPr>
    </w:p>
    <w:p w:rsidR="00BA0DE6" w:rsidRPr="00C80B27" w:rsidRDefault="00BA0DE6">
      <w:pPr>
        <w:tabs>
          <w:tab w:val="left" w:pos="2145"/>
        </w:tabs>
        <w:ind w:right="-86"/>
        <w:rPr>
          <w:rFonts w:ascii="Calibri" w:hAnsi="Calibri" w:cs="Helvetica"/>
          <w:sz w:val="22"/>
          <w:szCs w:val="22"/>
        </w:rPr>
      </w:pPr>
    </w:p>
    <w:p w:rsidR="00BA0DE6" w:rsidRPr="00C80B27" w:rsidRDefault="00BA0DE6">
      <w:pPr>
        <w:ind w:right="-86"/>
        <w:jc w:val="center"/>
        <w:rPr>
          <w:rFonts w:ascii="Calibri" w:hAnsi="Calibri"/>
          <w:sz w:val="22"/>
          <w:szCs w:val="22"/>
        </w:rPr>
      </w:pPr>
      <w:r w:rsidRPr="00C80B27">
        <w:rPr>
          <w:rFonts w:ascii="Calibri" w:hAnsi="Calibri" w:cs="Helvetica"/>
          <w:sz w:val="22"/>
          <w:szCs w:val="22"/>
        </w:rPr>
        <w:t>______________________________________________________________________________________</w:t>
      </w:r>
    </w:p>
    <w:p w:rsidR="00BA0DE6" w:rsidRPr="00C80B27" w:rsidRDefault="00BA0DE6">
      <w:pPr>
        <w:tabs>
          <w:tab w:val="left" w:pos="17100"/>
        </w:tabs>
        <w:ind w:right="-86"/>
        <w:jc w:val="center"/>
        <w:rPr>
          <w:rFonts w:ascii="Calibri" w:hAnsi="Calibri"/>
          <w:sz w:val="22"/>
          <w:szCs w:val="22"/>
        </w:rPr>
      </w:pPr>
      <w:r>
        <w:rPr>
          <w:rFonts w:ascii="Calibri" w:hAnsi="Calibri"/>
          <w:sz w:val="22"/>
          <w:szCs w:val="22"/>
        </w:rPr>
        <w:t>UNITA’ SINDACALE FALCRI SILCEA</w:t>
      </w:r>
    </w:p>
    <w:p w:rsidR="00BA0DE6" w:rsidRPr="00C80B27" w:rsidRDefault="00BA0DE6">
      <w:pPr>
        <w:tabs>
          <w:tab w:val="left" w:pos="2145"/>
        </w:tabs>
        <w:ind w:right="-86"/>
        <w:jc w:val="center"/>
        <w:rPr>
          <w:rFonts w:ascii="Calibri" w:hAnsi="Calibri" w:cs="Helvetica"/>
          <w:sz w:val="22"/>
          <w:szCs w:val="22"/>
        </w:rPr>
      </w:pPr>
    </w:p>
    <w:p w:rsidR="00BA0DE6" w:rsidRPr="008E0C28" w:rsidRDefault="00BA0DE6" w:rsidP="008E0C28">
      <w:pPr>
        <w:ind w:right="-86"/>
        <w:jc w:val="center"/>
        <w:rPr>
          <w:rFonts w:ascii="Calibri" w:hAnsi="Calibri"/>
          <w:sz w:val="22"/>
          <w:szCs w:val="22"/>
        </w:rPr>
      </w:pPr>
    </w:p>
    <w:sectPr w:rsidR="00BA0DE6" w:rsidRPr="008E0C28" w:rsidSect="003A2CBF">
      <w:footerReference w:type="even" r:id="rId9"/>
      <w:footerReference w:type="default" r:id="rId10"/>
      <w:type w:val="continuous"/>
      <w:pgSz w:w="11906" w:h="16838"/>
      <w:pgMar w:top="1134" w:right="1247" w:bottom="1134" w:left="124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DE6" w:rsidRDefault="00BA0DE6">
      <w:r>
        <w:separator/>
      </w:r>
    </w:p>
    <w:p w:rsidR="00BA0DE6" w:rsidRDefault="00BA0DE6"/>
  </w:endnote>
  <w:endnote w:type="continuationSeparator" w:id="0">
    <w:p w:rsidR="00BA0DE6" w:rsidRDefault="00BA0DE6">
      <w:r>
        <w:continuationSeparator/>
      </w:r>
    </w:p>
    <w:p w:rsidR="00BA0DE6" w:rsidRDefault="00BA0DE6"/>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E6" w:rsidRDefault="00BA0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DE6" w:rsidRDefault="00BA0D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E6" w:rsidRDefault="00BA0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0DE6" w:rsidRDefault="00BA0D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DE6" w:rsidRDefault="00BA0DE6">
      <w:r>
        <w:separator/>
      </w:r>
    </w:p>
    <w:p w:rsidR="00BA0DE6" w:rsidRDefault="00BA0DE6"/>
  </w:footnote>
  <w:footnote w:type="continuationSeparator" w:id="0">
    <w:p w:rsidR="00BA0DE6" w:rsidRDefault="00BA0DE6">
      <w:r>
        <w:continuationSeparator/>
      </w:r>
    </w:p>
    <w:p w:rsidR="00BA0DE6" w:rsidRDefault="00BA0D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2F60"/>
    <w:multiLevelType w:val="hybridMultilevel"/>
    <w:tmpl w:val="820EF45C"/>
    <w:lvl w:ilvl="0" w:tplc="F51E433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8B75FE"/>
    <w:multiLevelType w:val="hybridMultilevel"/>
    <w:tmpl w:val="2D242E92"/>
    <w:lvl w:ilvl="0" w:tplc="9642E062">
      <w:start w:val="1"/>
      <w:numFmt w:val="decimal"/>
      <w:lvlText w:val="%1."/>
      <w:lvlJc w:val="left"/>
      <w:pPr>
        <w:tabs>
          <w:tab w:val="num" w:pos="720"/>
        </w:tabs>
        <w:ind w:left="720" w:hanging="360"/>
      </w:pPr>
      <w:rPr>
        <w:rFonts w:cs="Times New Roman" w:hint="default"/>
      </w:rPr>
    </w:lvl>
    <w:lvl w:ilvl="1" w:tplc="ECF070AA">
      <w:start w:val="118"/>
      <w:numFmt w:val="bullet"/>
      <w:lvlText w:val="-"/>
      <w:lvlJc w:val="left"/>
      <w:pPr>
        <w:tabs>
          <w:tab w:val="num" w:pos="1440"/>
        </w:tabs>
        <w:ind w:left="1440" w:hanging="360"/>
      </w:pPr>
      <w:rPr>
        <w:rFonts w:ascii="Times New Roman" w:eastAsia="Times New Roman" w:hAnsi="Times New Roman" w:hint="default"/>
      </w:rPr>
    </w:lvl>
    <w:lvl w:ilvl="2" w:tplc="0410000F">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B2B2CA8"/>
    <w:multiLevelType w:val="hybridMultilevel"/>
    <w:tmpl w:val="B0CAB01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643610"/>
    <w:multiLevelType w:val="hybridMultilevel"/>
    <w:tmpl w:val="760C274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DE94F2D"/>
    <w:multiLevelType w:val="hybridMultilevel"/>
    <w:tmpl w:val="1118333C"/>
    <w:lvl w:ilvl="0" w:tplc="0409000F">
      <w:start w:val="1"/>
      <w:numFmt w:val="decimal"/>
      <w:lvlText w:val="%1."/>
      <w:lvlJc w:val="left"/>
      <w:pPr>
        <w:tabs>
          <w:tab w:val="num" w:pos="720"/>
        </w:tabs>
        <w:ind w:left="720" w:hanging="360"/>
      </w:pPr>
      <w:rPr>
        <w:rFonts w:cs="Times New Roman"/>
      </w:rPr>
    </w:lvl>
    <w:lvl w:ilvl="1" w:tplc="F51E4332">
      <w:start w:val="1"/>
      <w:numFmt w:val="bullet"/>
      <w:lvlText w:val="­"/>
      <w:lvlJc w:val="left"/>
      <w:pPr>
        <w:tabs>
          <w:tab w:val="num" w:pos="1440"/>
        </w:tabs>
        <w:ind w:left="1440" w:hanging="360"/>
      </w:pPr>
      <w:rPr>
        <w:rFonts w:ascii="Courier New" w:hAnsi="Courier New"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E186871"/>
    <w:multiLevelType w:val="hybridMultilevel"/>
    <w:tmpl w:val="23AE385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2074AF5"/>
    <w:multiLevelType w:val="hybridMultilevel"/>
    <w:tmpl w:val="9678E40A"/>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6893A6A"/>
    <w:multiLevelType w:val="hybridMultilevel"/>
    <w:tmpl w:val="6004ED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A5F5984"/>
    <w:multiLevelType w:val="hybridMultilevel"/>
    <w:tmpl w:val="F0663FBE"/>
    <w:lvl w:ilvl="0" w:tplc="F51E433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B280756"/>
    <w:multiLevelType w:val="hybridMultilevel"/>
    <w:tmpl w:val="1EF280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DB014B9"/>
    <w:multiLevelType w:val="hybridMultilevel"/>
    <w:tmpl w:val="7D6AF24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F010F73"/>
    <w:multiLevelType w:val="hybridMultilevel"/>
    <w:tmpl w:val="C6B49C46"/>
    <w:lvl w:ilvl="0" w:tplc="438CD3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F7210A6"/>
    <w:multiLevelType w:val="hybridMultilevel"/>
    <w:tmpl w:val="36D4C1B6"/>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0F">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23C91EC9"/>
    <w:multiLevelType w:val="hybridMultilevel"/>
    <w:tmpl w:val="3D649B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CE03A94"/>
    <w:multiLevelType w:val="hybridMultilevel"/>
    <w:tmpl w:val="6D0AA8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E6506A8"/>
    <w:multiLevelType w:val="hybridMultilevel"/>
    <w:tmpl w:val="1A54560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E720798"/>
    <w:multiLevelType w:val="hybridMultilevel"/>
    <w:tmpl w:val="0CC68906"/>
    <w:lvl w:ilvl="0" w:tplc="1E2491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0626C0"/>
    <w:multiLevelType w:val="hybridMultilevel"/>
    <w:tmpl w:val="C6369E5A"/>
    <w:lvl w:ilvl="0" w:tplc="7458C822">
      <w:start w:val="8"/>
      <w:numFmt w:val="lowerLetter"/>
      <w:lvlText w:val="%1)"/>
      <w:lvlJc w:val="left"/>
      <w:pPr>
        <w:tabs>
          <w:tab w:val="num" w:pos="1440"/>
        </w:tabs>
        <w:ind w:left="144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3F86E93"/>
    <w:multiLevelType w:val="hybridMultilevel"/>
    <w:tmpl w:val="AF2235E2"/>
    <w:lvl w:ilvl="0" w:tplc="71229DF6">
      <w:start w:val="1"/>
      <w:numFmt w:val="bullet"/>
      <w:lvlText w:val="-"/>
      <w:lvlJc w:val="left"/>
      <w:pPr>
        <w:tabs>
          <w:tab w:val="num" w:pos="720"/>
        </w:tabs>
        <w:ind w:left="720" w:hanging="360"/>
      </w:pPr>
      <w:rPr>
        <w:rFonts w:ascii="Helvetica" w:eastAsia="Times New Roman" w:hAnsi="Helvetic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34F30E1D"/>
    <w:multiLevelType w:val="hybridMultilevel"/>
    <w:tmpl w:val="B8786F50"/>
    <w:lvl w:ilvl="0" w:tplc="ECF070AA">
      <w:start w:val="118"/>
      <w:numFmt w:val="bullet"/>
      <w:lvlText w:val="-"/>
      <w:lvlJc w:val="left"/>
      <w:pPr>
        <w:tabs>
          <w:tab w:val="num" w:pos="1440"/>
        </w:tabs>
        <w:ind w:left="1440" w:hanging="360"/>
      </w:pPr>
      <w:rPr>
        <w:rFonts w:ascii="Times New Roman" w:eastAsia="Times New Roman" w:hAnsi="Times New Roman" w:hint="default"/>
      </w:rPr>
    </w:lvl>
    <w:lvl w:ilvl="1" w:tplc="9ADC6976">
      <w:start w:val="1"/>
      <w:numFmt w:val="decimal"/>
      <w:lvlText w:val="%2."/>
      <w:lvlJc w:val="left"/>
      <w:pPr>
        <w:tabs>
          <w:tab w:val="num" w:pos="720"/>
        </w:tabs>
        <w:ind w:left="720" w:hanging="360"/>
      </w:pPr>
      <w:rPr>
        <w:rFonts w:cs="Times New Roman" w:hint="default"/>
        <w:b w:val="0"/>
      </w:rPr>
    </w:lvl>
    <w:lvl w:ilvl="2" w:tplc="D71611CE">
      <w:start w:val="1"/>
      <w:numFmt w:val="lowerRoman"/>
      <w:lvlText w:val="%3)"/>
      <w:lvlJc w:val="left"/>
      <w:pPr>
        <w:tabs>
          <w:tab w:val="num" w:pos="3240"/>
        </w:tabs>
        <w:ind w:left="3240" w:hanging="720"/>
      </w:pPr>
      <w:rPr>
        <w:rFonts w:cs="Times New Roman"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0">
    <w:nsid w:val="386C3C39"/>
    <w:multiLevelType w:val="hybridMultilevel"/>
    <w:tmpl w:val="449A202E"/>
    <w:lvl w:ilvl="0" w:tplc="7F460C48">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39471ACF"/>
    <w:multiLevelType w:val="hybridMultilevel"/>
    <w:tmpl w:val="408E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37CC1"/>
    <w:multiLevelType w:val="hybridMultilevel"/>
    <w:tmpl w:val="05085236"/>
    <w:lvl w:ilvl="0" w:tplc="0410000F">
      <w:start w:val="1"/>
      <w:numFmt w:val="decimal"/>
      <w:lvlText w:val="%1."/>
      <w:lvlJc w:val="left"/>
      <w:pPr>
        <w:tabs>
          <w:tab w:val="num" w:pos="360"/>
        </w:tabs>
        <w:ind w:left="360" w:hanging="360"/>
      </w:pPr>
      <w:rPr>
        <w:rFonts w:cs="Times New Roman" w:hint="default"/>
      </w:rPr>
    </w:lvl>
    <w:lvl w:ilvl="1" w:tplc="75663E66">
      <w:numFmt w:val="bullet"/>
      <w:lvlText w:val="-"/>
      <w:lvlJc w:val="left"/>
      <w:pPr>
        <w:tabs>
          <w:tab w:val="num" w:pos="1080"/>
        </w:tabs>
        <w:ind w:left="1080" w:hanging="360"/>
      </w:pPr>
      <w:rPr>
        <w:rFonts w:ascii="Times New Roman" w:eastAsia="Times New Roman" w:hAnsi="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nsid w:val="3A8E1399"/>
    <w:multiLevelType w:val="multilevel"/>
    <w:tmpl w:val="05085236"/>
    <w:lvl w:ilvl="0">
      <w:start w:val="1"/>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Times New Roman" w:eastAsia="Times New Roman" w:hAnsi="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3CD750BF"/>
    <w:multiLevelType w:val="hybridMultilevel"/>
    <w:tmpl w:val="F65AA348"/>
    <w:lvl w:ilvl="0" w:tplc="04090001">
      <w:start w:val="1"/>
      <w:numFmt w:val="bullet"/>
      <w:lvlText w:val=""/>
      <w:lvlJc w:val="left"/>
      <w:pPr>
        <w:tabs>
          <w:tab w:val="num" w:pos="720"/>
        </w:tabs>
        <w:ind w:left="720" w:hanging="360"/>
      </w:pPr>
      <w:rPr>
        <w:rFonts w:ascii="Symbol" w:hAnsi="Symbol" w:hint="default"/>
      </w:rPr>
    </w:lvl>
    <w:lvl w:ilvl="1" w:tplc="F51E4332">
      <w:start w:val="1"/>
      <w:numFmt w:val="bullet"/>
      <w:lvlText w:val="­"/>
      <w:lvlJc w:val="left"/>
      <w:pPr>
        <w:tabs>
          <w:tab w:val="num" w:pos="1440"/>
        </w:tabs>
        <w:ind w:left="1440" w:hanging="360"/>
      </w:pPr>
      <w:rPr>
        <w:rFonts w:ascii="Courier New" w:hAnsi="Courier New"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3F1D04C0"/>
    <w:multiLevelType w:val="hybridMultilevel"/>
    <w:tmpl w:val="E180AB20"/>
    <w:lvl w:ilvl="0" w:tplc="F51E433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0AE17DF"/>
    <w:multiLevelType w:val="hybridMultilevel"/>
    <w:tmpl w:val="E758AEE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439C7E05"/>
    <w:multiLevelType w:val="hybridMultilevel"/>
    <w:tmpl w:val="C8AE3F9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C4E0F82"/>
    <w:multiLevelType w:val="hybridMultilevel"/>
    <w:tmpl w:val="2818A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DE9248F"/>
    <w:multiLevelType w:val="hybridMultilevel"/>
    <w:tmpl w:val="822A25FA"/>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30">
    <w:nsid w:val="53A24144"/>
    <w:multiLevelType w:val="multilevel"/>
    <w:tmpl w:val="F550BE50"/>
    <w:lvl w:ilvl="0">
      <w:start w:val="1"/>
      <w:numFmt w:val="bullet"/>
      <w:lvlText w:val="­"/>
      <w:lvlJc w:val="left"/>
      <w:pPr>
        <w:tabs>
          <w:tab w:val="num" w:pos="1440"/>
        </w:tabs>
        <w:ind w:left="1440" w:hanging="360"/>
      </w:pPr>
      <w:rPr>
        <w:rFonts w:ascii="Courier New" w:hAnsi="Courier New"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3DC551F"/>
    <w:multiLevelType w:val="hybridMultilevel"/>
    <w:tmpl w:val="82CE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964AE"/>
    <w:multiLevelType w:val="hybridMultilevel"/>
    <w:tmpl w:val="0F8E07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55C24278"/>
    <w:multiLevelType w:val="hybridMultilevel"/>
    <w:tmpl w:val="E33E5FF6"/>
    <w:lvl w:ilvl="0" w:tplc="04090015">
      <w:start w:val="1"/>
      <w:numFmt w:val="upperLetter"/>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4">
    <w:nsid w:val="5A9D71F0"/>
    <w:multiLevelType w:val="hybridMultilevel"/>
    <w:tmpl w:val="2DB27008"/>
    <w:lvl w:ilvl="0" w:tplc="4E60096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F16172"/>
    <w:multiLevelType w:val="hybridMultilevel"/>
    <w:tmpl w:val="2E98D0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212258A"/>
    <w:multiLevelType w:val="hybridMultilevel"/>
    <w:tmpl w:val="BA4227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28267FD"/>
    <w:multiLevelType w:val="hybridMultilevel"/>
    <w:tmpl w:val="473A09EA"/>
    <w:lvl w:ilvl="0" w:tplc="ECF070AA">
      <w:start w:val="118"/>
      <w:numFmt w:val="bullet"/>
      <w:lvlText w:val="-"/>
      <w:lvlJc w:val="left"/>
      <w:pPr>
        <w:tabs>
          <w:tab w:val="num" w:pos="1440"/>
        </w:tabs>
        <w:ind w:left="1440" w:hanging="360"/>
      </w:pPr>
      <w:rPr>
        <w:rFonts w:ascii="Times New Roman" w:eastAsia="Times New Roman" w:hAnsi="Times New Roman" w:hint="default"/>
      </w:rPr>
    </w:lvl>
    <w:lvl w:ilvl="1" w:tplc="9ADC6976">
      <w:start w:val="1"/>
      <w:numFmt w:val="decimal"/>
      <w:lvlText w:val="%2."/>
      <w:lvlJc w:val="left"/>
      <w:pPr>
        <w:tabs>
          <w:tab w:val="num" w:pos="2160"/>
        </w:tabs>
        <w:ind w:left="2160" w:hanging="360"/>
      </w:pPr>
      <w:rPr>
        <w:rFonts w:cs="Times New Roman" w:hint="default"/>
        <w:b w:val="0"/>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8">
    <w:nsid w:val="644A3357"/>
    <w:multiLevelType w:val="hybridMultilevel"/>
    <w:tmpl w:val="B13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154A2"/>
    <w:multiLevelType w:val="hybridMultilevel"/>
    <w:tmpl w:val="99B66BBC"/>
    <w:lvl w:ilvl="0" w:tplc="0410000F">
      <w:start w:val="1"/>
      <w:numFmt w:val="decimal"/>
      <w:lvlText w:val="%1."/>
      <w:lvlJc w:val="left"/>
      <w:pPr>
        <w:tabs>
          <w:tab w:val="num" w:pos="2880"/>
        </w:tabs>
        <w:ind w:left="2880" w:hanging="360"/>
      </w:pPr>
      <w:rPr>
        <w:rFonts w:cs="Times New Roman"/>
      </w:rPr>
    </w:lvl>
    <w:lvl w:ilvl="1" w:tplc="AF780BBA">
      <w:start w:val="5"/>
      <w:numFmt w:val="decimal"/>
      <w:lvlText w:val="%2)"/>
      <w:lvlJc w:val="left"/>
      <w:pPr>
        <w:tabs>
          <w:tab w:val="num" w:pos="1440"/>
        </w:tabs>
        <w:ind w:left="1440" w:hanging="360"/>
      </w:pPr>
      <w:rPr>
        <w:rFonts w:cs="Times New Roman"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360"/>
        </w:tabs>
        <w:ind w:left="360" w:hanging="360"/>
      </w:pPr>
      <w:rPr>
        <w:rFonts w:cs="Times New Roman"/>
      </w:rPr>
    </w:lvl>
    <w:lvl w:ilvl="4" w:tplc="39C6D9B6">
      <w:start w:val="1"/>
      <w:numFmt w:val="lowerLetter"/>
      <w:lvlText w:val="%5)"/>
      <w:lvlJc w:val="left"/>
      <w:pPr>
        <w:tabs>
          <w:tab w:val="num" w:pos="3600"/>
        </w:tabs>
        <w:ind w:left="3600" w:hanging="360"/>
      </w:pPr>
      <w:rPr>
        <w:rFonts w:cs="Times New Roman"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66F62A04"/>
    <w:multiLevelType w:val="hybridMultilevel"/>
    <w:tmpl w:val="B1522280"/>
    <w:lvl w:ilvl="0" w:tplc="FBAA66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7660762"/>
    <w:multiLevelType w:val="hybridMultilevel"/>
    <w:tmpl w:val="6FFECF3C"/>
    <w:lvl w:ilvl="0" w:tplc="F51E433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7FC7781"/>
    <w:multiLevelType w:val="hybridMultilevel"/>
    <w:tmpl w:val="CF464E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B224BDE"/>
    <w:multiLevelType w:val="hybridMultilevel"/>
    <w:tmpl w:val="F550BE50"/>
    <w:lvl w:ilvl="0" w:tplc="F51E4332">
      <w:start w:val="1"/>
      <w:numFmt w:val="bullet"/>
      <w:lvlText w:val="­"/>
      <w:lvlJc w:val="left"/>
      <w:pPr>
        <w:tabs>
          <w:tab w:val="num" w:pos="1440"/>
        </w:tabs>
        <w:ind w:left="1440" w:hanging="360"/>
      </w:pPr>
      <w:rPr>
        <w:rFonts w:ascii="Courier New" w:hAnsi="Courier New"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4">
    <w:nsid w:val="6DBE5886"/>
    <w:multiLevelType w:val="hybridMultilevel"/>
    <w:tmpl w:val="D1CAEBDC"/>
    <w:lvl w:ilvl="0" w:tplc="D3586E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5">
    <w:nsid w:val="708B42B1"/>
    <w:multiLevelType w:val="hybridMultilevel"/>
    <w:tmpl w:val="7A98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7933A9"/>
    <w:multiLevelType w:val="hybridMultilevel"/>
    <w:tmpl w:val="4F9A57A0"/>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7461C49"/>
    <w:multiLevelType w:val="hybridMultilevel"/>
    <w:tmpl w:val="199CB424"/>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720"/>
        </w:tabs>
        <w:ind w:left="720" w:hanging="360"/>
      </w:pPr>
      <w:rPr>
        <w:rFonts w:ascii="Wingdings" w:hAnsi="Wingdings"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8">
    <w:nsid w:val="780C3AF7"/>
    <w:multiLevelType w:val="hybridMultilevel"/>
    <w:tmpl w:val="620021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9"/>
  </w:num>
  <w:num w:numId="3">
    <w:abstractNumId w:val="28"/>
  </w:num>
  <w:num w:numId="4">
    <w:abstractNumId w:val="20"/>
  </w:num>
  <w:num w:numId="5">
    <w:abstractNumId w:val="1"/>
  </w:num>
  <w:num w:numId="6">
    <w:abstractNumId w:val="19"/>
  </w:num>
  <w:num w:numId="7">
    <w:abstractNumId w:val="37"/>
  </w:num>
  <w:num w:numId="8">
    <w:abstractNumId w:val="17"/>
  </w:num>
  <w:num w:numId="9">
    <w:abstractNumId w:val="15"/>
  </w:num>
  <w:num w:numId="10">
    <w:abstractNumId w:val="32"/>
  </w:num>
  <w:num w:numId="11">
    <w:abstractNumId w:val="27"/>
  </w:num>
  <w:num w:numId="12">
    <w:abstractNumId w:val="26"/>
  </w:num>
  <w:num w:numId="13">
    <w:abstractNumId w:val="0"/>
  </w:num>
  <w:num w:numId="14">
    <w:abstractNumId w:val="5"/>
  </w:num>
  <w:num w:numId="15">
    <w:abstractNumId w:val="43"/>
  </w:num>
  <w:num w:numId="16">
    <w:abstractNumId w:val="10"/>
  </w:num>
  <w:num w:numId="17">
    <w:abstractNumId w:val="30"/>
  </w:num>
  <w:num w:numId="18">
    <w:abstractNumId w:val="4"/>
  </w:num>
  <w:num w:numId="19">
    <w:abstractNumId w:val="36"/>
  </w:num>
  <w:num w:numId="20">
    <w:abstractNumId w:val="41"/>
  </w:num>
  <w:num w:numId="21">
    <w:abstractNumId w:val="35"/>
  </w:num>
  <w:num w:numId="22">
    <w:abstractNumId w:val="7"/>
  </w:num>
  <w:num w:numId="23">
    <w:abstractNumId w:val="29"/>
  </w:num>
  <w:num w:numId="24">
    <w:abstractNumId w:val="13"/>
  </w:num>
  <w:num w:numId="25">
    <w:abstractNumId w:val="48"/>
  </w:num>
  <w:num w:numId="26">
    <w:abstractNumId w:val="25"/>
  </w:num>
  <w:num w:numId="27">
    <w:abstractNumId w:val="8"/>
  </w:num>
  <w:num w:numId="28">
    <w:abstractNumId w:val="22"/>
  </w:num>
  <w:num w:numId="29">
    <w:abstractNumId w:val="18"/>
  </w:num>
  <w:num w:numId="30">
    <w:abstractNumId w:val="12"/>
  </w:num>
  <w:num w:numId="31">
    <w:abstractNumId w:val="23"/>
  </w:num>
  <w:num w:numId="32">
    <w:abstractNumId w:val="11"/>
  </w:num>
  <w:num w:numId="33">
    <w:abstractNumId w:val="14"/>
  </w:num>
  <w:num w:numId="34">
    <w:abstractNumId w:val="42"/>
  </w:num>
  <w:num w:numId="35">
    <w:abstractNumId w:val="45"/>
  </w:num>
  <w:num w:numId="36">
    <w:abstractNumId w:val="38"/>
  </w:num>
  <w:num w:numId="37">
    <w:abstractNumId w:val="31"/>
  </w:num>
  <w:num w:numId="38">
    <w:abstractNumId w:val="24"/>
  </w:num>
  <w:num w:numId="39">
    <w:abstractNumId w:val="34"/>
  </w:num>
  <w:num w:numId="40">
    <w:abstractNumId w:val="2"/>
  </w:num>
  <w:num w:numId="41">
    <w:abstractNumId w:val="33"/>
  </w:num>
  <w:num w:numId="42">
    <w:abstractNumId w:val="21"/>
  </w:num>
  <w:num w:numId="43">
    <w:abstractNumId w:val="44"/>
  </w:num>
  <w:num w:numId="44">
    <w:abstractNumId w:val="46"/>
  </w:num>
  <w:num w:numId="45">
    <w:abstractNumId w:val="16"/>
  </w:num>
  <w:num w:numId="46">
    <w:abstractNumId w:val="40"/>
  </w:num>
  <w:num w:numId="47">
    <w:abstractNumId w:val="9"/>
  </w:num>
  <w:num w:numId="48">
    <w:abstractNumId w:val="6"/>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A1A"/>
    <w:rsid w:val="00004593"/>
    <w:rsid w:val="000208F1"/>
    <w:rsid w:val="00022BC9"/>
    <w:rsid w:val="0006799A"/>
    <w:rsid w:val="00084806"/>
    <w:rsid w:val="000C2EE9"/>
    <w:rsid w:val="000D635B"/>
    <w:rsid w:val="000D74F6"/>
    <w:rsid w:val="000E0E55"/>
    <w:rsid w:val="00161195"/>
    <w:rsid w:val="001707EE"/>
    <w:rsid w:val="0017271F"/>
    <w:rsid w:val="001C643B"/>
    <w:rsid w:val="00205AFE"/>
    <w:rsid w:val="002140F8"/>
    <w:rsid w:val="00244BE7"/>
    <w:rsid w:val="00251176"/>
    <w:rsid w:val="00256F93"/>
    <w:rsid w:val="0027192C"/>
    <w:rsid w:val="00291F10"/>
    <w:rsid w:val="002D63A2"/>
    <w:rsid w:val="002D6469"/>
    <w:rsid w:val="002E5B94"/>
    <w:rsid w:val="002F5CC4"/>
    <w:rsid w:val="002F6E4A"/>
    <w:rsid w:val="002F755E"/>
    <w:rsid w:val="00304BF6"/>
    <w:rsid w:val="003128E3"/>
    <w:rsid w:val="0033334F"/>
    <w:rsid w:val="0033588E"/>
    <w:rsid w:val="0034350D"/>
    <w:rsid w:val="00346D69"/>
    <w:rsid w:val="003612F2"/>
    <w:rsid w:val="00392D3E"/>
    <w:rsid w:val="003A2CBF"/>
    <w:rsid w:val="003F6EEF"/>
    <w:rsid w:val="0040758D"/>
    <w:rsid w:val="00430E72"/>
    <w:rsid w:val="00442B4B"/>
    <w:rsid w:val="0048496C"/>
    <w:rsid w:val="004B0A6E"/>
    <w:rsid w:val="0053293B"/>
    <w:rsid w:val="00552DF3"/>
    <w:rsid w:val="005B4424"/>
    <w:rsid w:val="0060435C"/>
    <w:rsid w:val="0060511C"/>
    <w:rsid w:val="006149EB"/>
    <w:rsid w:val="0063049B"/>
    <w:rsid w:val="00645080"/>
    <w:rsid w:val="0064509B"/>
    <w:rsid w:val="00671AC5"/>
    <w:rsid w:val="00676018"/>
    <w:rsid w:val="00690579"/>
    <w:rsid w:val="006B0D73"/>
    <w:rsid w:val="006F761F"/>
    <w:rsid w:val="006F7B10"/>
    <w:rsid w:val="00773B2A"/>
    <w:rsid w:val="007A15C9"/>
    <w:rsid w:val="007A5C1C"/>
    <w:rsid w:val="007B49AC"/>
    <w:rsid w:val="007D1C76"/>
    <w:rsid w:val="007F4363"/>
    <w:rsid w:val="00800619"/>
    <w:rsid w:val="00836B42"/>
    <w:rsid w:val="008736FC"/>
    <w:rsid w:val="00891927"/>
    <w:rsid w:val="008A05E4"/>
    <w:rsid w:val="008A62AC"/>
    <w:rsid w:val="008B5E75"/>
    <w:rsid w:val="008B6331"/>
    <w:rsid w:val="008D2E70"/>
    <w:rsid w:val="008E0C28"/>
    <w:rsid w:val="008F0121"/>
    <w:rsid w:val="008F4A55"/>
    <w:rsid w:val="00924B20"/>
    <w:rsid w:val="00942452"/>
    <w:rsid w:val="0096198D"/>
    <w:rsid w:val="00973346"/>
    <w:rsid w:val="009A69C4"/>
    <w:rsid w:val="009C7734"/>
    <w:rsid w:val="009F09E6"/>
    <w:rsid w:val="00A20F30"/>
    <w:rsid w:val="00A25C5D"/>
    <w:rsid w:val="00A51420"/>
    <w:rsid w:val="00A879ED"/>
    <w:rsid w:val="00A87F77"/>
    <w:rsid w:val="00A934EF"/>
    <w:rsid w:val="00A95894"/>
    <w:rsid w:val="00AA054F"/>
    <w:rsid w:val="00AA23DB"/>
    <w:rsid w:val="00AF4508"/>
    <w:rsid w:val="00B06D45"/>
    <w:rsid w:val="00B161FC"/>
    <w:rsid w:val="00B20D85"/>
    <w:rsid w:val="00B301E9"/>
    <w:rsid w:val="00B42EFA"/>
    <w:rsid w:val="00B647E0"/>
    <w:rsid w:val="00B85B66"/>
    <w:rsid w:val="00BA0DE6"/>
    <w:rsid w:val="00BB0ABC"/>
    <w:rsid w:val="00BB1A1A"/>
    <w:rsid w:val="00C41B56"/>
    <w:rsid w:val="00C76A58"/>
    <w:rsid w:val="00C80B27"/>
    <w:rsid w:val="00CC5A3F"/>
    <w:rsid w:val="00CE4E58"/>
    <w:rsid w:val="00CF2171"/>
    <w:rsid w:val="00CF5590"/>
    <w:rsid w:val="00D01275"/>
    <w:rsid w:val="00D278DB"/>
    <w:rsid w:val="00D301CF"/>
    <w:rsid w:val="00D66356"/>
    <w:rsid w:val="00D74815"/>
    <w:rsid w:val="00D75795"/>
    <w:rsid w:val="00D86F31"/>
    <w:rsid w:val="00DE78EB"/>
    <w:rsid w:val="00E01399"/>
    <w:rsid w:val="00E1562A"/>
    <w:rsid w:val="00E609A2"/>
    <w:rsid w:val="00E80541"/>
    <w:rsid w:val="00E87553"/>
    <w:rsid w:val="00E96CD5"/>
    <w:rsid w:val="00E97FF4"/>
    <w:rsid w:val="00EA1E46"/>
    <w:rsid w:val="00EB293F"/>
    <w:rsid w:val="00F105AB"/>
    <w:rsid w:val="00F13F24"/>
    <w:rsid w:val="00F15DA6"/>
    <w:rsid w:val="00F647EE"/>
    <w:rsid w:val="00F859DC"/>
    <w:rsid w:val="00F94F5D"/>
    <w:rsid w:val="00FA6C6D"/>
    <w:rsid w:val="00FC786D"/>
    <w:rsid w:val="00FD418E"/>
    <w:rsid w:val="00FE337E"/>
    <w:rsid w:val="00FF16E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2CBF"/>
    <w:rPr>
      <w:sz w:val="24"/>
      <w:szCs w:val="24"/>
    </w:rPr>
  </w:style>
  <w:style w:type="paragraph" w:styleId="Heading1">
    <w:name w:val="heading 1"/>
    <w:basedOn w:val="Normal"/>
    <w:next w:val="Normal"/>
    <w:link w:val="Heading1Char"/>
    <w:uiPriority w:val="99"/>
    <w:qFormat/>
    <w:rsid w:val="003A2CBF"/>
    <w:pPr>
      <w:keepNext/>
      <w:tabs>
        <w:tab w:val="left" w:pos="17100"/>
      </w:tabs>
      <w:ind w:right="-1134"/>
      <w:jc w:val="center"/>
      <w:outlineLvl w:val="0"/>
    </w:pPr>
    <w:rPr>
      <w:sz w:val="28"/>
    </w:rPr>
  </w:style>
  <w:style w:type="paragraph" w:styleId="Heading2">
    <w:name w:val="heading 2"/>
    <w:basedOn w:val="Normal"/>
    <w:next w:val="Normal"/>
    <w:link w:val="Heading2Char"/>
    <w:uiPriority w:val="99"/>
    <w:qFormat/>
    <w:rsid w:val="003A2CBF"/>
    <w:pPr>
      <w:keepNext/>
      <w:tabs>
        <w:tab w:val="left" w:pos="17100"/>
      </w:tabs>
      <w:ind w:right="-1134"/>
      <w:outlineLvl w:val="1"/>
    </w:pPr>
    <w:rPr>
      <w:sz w:val="28"/>
    </w:rPr>
  </w:style>
  <w:style w:type="paragraph" w:styleId="Heading3">
    <w:name w:val="heading 3"/>
    <w:basedOn w:val="Normal"/>
    <w:next w:val="Normal"/>
    <w:link w:val="Heading3Char"/>
    <w:uiPriority w:val="99"/>
    <w:qFormat/>
    <w:rsid w:val="003A2CBF"/>
    <w:pPr>
      <w:keepNext/>
      <w:jc w:val="center"/>
      <w:outlineLvl w:val="2"/>
    </w:pPr>
    <w:rPr>
      <w:rFonts w:ascii="Helvetica" w:hAnsi="Helvetica"/>
      <w:b/>
      <w:bCs/>
      <w:sz w:val="22"/>
      <w:szCs w:val="22"/>
    </w:rPr>
  </w:style>
  <w:style w:type="paragraph" w:styleId="Heading4">
    <w:name w:val="heading 4"/>
    <w:basedOn w:val="Normal"/>
    <w:next w:val="Normal"/>
    <w:link w:val="Heading4Char"/>
    <w:uiPriority w:val="99"/>
    <w:qFormat/>
    <w:rsid w:val="003A2CBF"/>
    <w:pPr>
      <w:keepNext/>
      <w:jc w:val="center"/>
      <w:outlineLvl w:val="3"/>
    </w:pPr>
    <w:rPr>
      <w:rFonts w:ascii="Helvetica" w:hAnsi="Helvetica"/>
      <w:i/>
      <w:iCs/>
      <w:sz w:val="22"/>
      <w:szCs w:val="22"/>
    </w:rPr>
  </w:style>
  <w:style w:type="paragraph" w:styleId="Heading5">
    <w:name w:val="heading 5"/>
    <w:basedOn w:val="Normal"/>
    <w:next w:val="Normal"/>
    <w:link w:val="Heading5Char"/>
    <w:uiPriority w:val="99"/>
    <w:qFormat/>
    <w:rsid w:val="003A2CBF"/>
    <w:pPr>
      <w:keepNext/>
      <w:jc w:val="both"/>
      <w:outlineLvl w:val="4"/>
    </w:pPr>
    <w:rPr>
      <w:rFonts w:ascii="Helvetica" w:hAnsi="Helvetica"/>
      <w:i/>
      <w:iCs/>
      <w:sz w:val="22"/>
      <w:szCs w:val="22"/>
    </w:rPr>
  </w:style>
  <w:style w:type="paragraph" w:styleId="Heading6">
    <w:name w:val="heading 6"/>
    <w:basedOn w:val="Normal"/>
    <w:next w:val="Normal"/>
    <w:link w:val="Heading6Char"/>
    <w:uiPriority w:val="99"/>
    <w:qFormat/>
    <w:rsid w:val="003A2CBF"/>
    <w:pPr>
      <w:keepNext/>
      <w:jc w:val="center"/>
      <w:outlineLvl w:val="5"/>
    </w:pPr>
    <w:rPr>
      <w:sz w:val="28"/>
      <w:szCs w:val="22"/>
      <w:shd w:val="clear" w:color="auto" w:fill="CCCCCC"/>
    </w:rPr>
  </w:style>
  <w:style w:type="paragraph" w:styleId="Heading7">
    <w:name w:val="heading 7"/>
    <w:basedOn w:val="Normal"/>
    <w:next w:val="Normal"/>
    <w:link w:val="Heading7Char"/>
    <w:uiPriority w:val="99"/>
    <w:qFormat/>
    <w:rsid w:val="003A2CBF"/>
    <w:pPr>
      <w:keepNext/>
      <w:jc w:val="center"/>
      <w:outlineLvl w:val="6"/>
    </w:pPr>
    <w:rPr>
      <w:rFonts w:ascii="Helvetica" w:hAnsi="Helvetica"/>
      <w:i/>
      <w:iCs/>
      <w:sz w:val="18"/>
      <w:szCs w:val="22"/>
    </w:rPr>
  </w:style>
  <w:style w:type="paragraph" w:styleId="Heading8">
    <w:name w:val="heading 8"/>
    <w:basedOn w:val="Normal"/>
    <w:next w:val="Normal"/>
    <w:link w:val="Heading8Char"/>
    <w:uiPriority w:val="99"/>
    <w:qFormat/>
    <w:rsid w:val="003A2CBF"/>
    <w:pPr>
      <w:keepNext/>
      <w:jc w:val="center"/>
      <w:outlineLvl w:val="7"/>
    </w:pPr>
    <w:rPr>
      <w:rFonts w:ascii="Helvetica" w:hAnsi="Helvetica"/>
      <w:i/>
      <w:iCs/>
      <w:sz w:val="20"/>
      <w:szCs w:val="22"/>
    </w:rPr>
  </w:style>
  <w:style w:type="paragraph" w:styleId="Heading9">
    <w:name w:val="heading 9"/>
    <w:basedOn w:val="Normal"/>
    <w:next w:val="Normal"/>
    <w:link w:val="Heading9Char"/>
    <w:uiPriority w:val="99"/>
    <w:qFormat/>
    <w:rsid w:val="003A2CBF"/>
    <w:pPr>
      <w:keepNext/>
      <w:shd w:val="clear" w:color="auto" w:fill="FFFFFF"/>
      <w:spacing w:after="60"/>
      <w:jc w:val="center"/>
      <w:outlineLvl w:val="8"/>
    </w:pPr>
    <w:rPr>
      <w:rFonts w:ascii="Helvetica" w:hAnsi="Helvetica"/>
      <w:b/>
      <w:bCs/>
      <w:color w:val="00000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
    <w:name w:val="Body Text"/>
    <w:basedOn w:val="Normal"/>
    <w:link w:val="BodyTextChar"/>
    <w:uiPriority w:val="99"/>
    <w:rsid w:val="003A2CBF"/>
    <w:rPr>
      <w:sz w:val="28"/>
    </w:rPr>
  </w:style>
  <w:style w:type="character" w:customStyle="1" w:styleId="BodyTextChar">
    <w:name w:val="Body Text Char"/>
    <w:basedOn w:val="DefaultParagraphFont"/>
    <w:link w:val="BodyText"/>
    <w:uiPriority w:val="99"/>
    <w:locked/>
    <w:rsid w:val="0060435C"/>
    <w:rPr>
      <w:rFonts w:cs="Times New Roman"/>
      <w:sz w:val="24"/>
      <w:szCs w:val="24"/>
      <w:lang w:val="it-IT" w:eastAsia="it-IT"/>
    </w:rPr>
  </w:style>
  <w:style w:type="paragraph" w:styleId="BlockText">
    <w:name w:val="Block Text"/>
    <w:basedOn w:val="Normal"/>
    <w:uiPriority w:val="99"/>
    <w:semiHidden/>
    <w:rsid w:val="003A2CBF"/>
    <w:pPr>
      <w:pBdr>
        <w:top w:val="single" w:sz="4" w:space="1" w:color="auto"/>
        <w:left w:val="single" w:sz="4" w:space="4" w:color="auto"/>
        <w:bottom w:val="single" w:sz="4" w:space="1" w:color="auto"/>
        <w:right w:val="single" w:sz="4" w:space="4" w:color="auto"/>
      </w:pBdr>
      <w:shd w:val="clear" w:color="auto" w:fill="FFFFFF"/>
      <w:ind w:left="-180" w:right="-82"/>
      <w:jc w:val="center"/>
    </w:pPr>
    <w:rPr>
      <w:rFonts w:ascii="Helvetica" w:hAnsi="Helvetica"/>
      <w:b/>
      <w:bCs/>
      <w:sz w:val="26"/>
      <w:szCs w:val="22"/>
    </w:rPr>
  </w:style>
  <w:style w:type="paragraph" w:styleId="BodyText3">
    <w:name w:val="Body Text 3"/>
    <w:basedOn w:val="Normal"/>
    <w:link w:val="BodyText3Char"/>
    <w:uiPriority w:val="99"/>
    <w:semiHidden/>
    <w:rsid w:val="003A2CBF"/>
    <w:pPr>
      <w:jc w:val="both"/>
    </w:pPr>
    <w:rPr>
      <w:szCs w:val="19"/>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semiHidden/>
    <w:rsid w:val="003A2CBF"/>
    <w:pPr>
      <w:pBdr>
        <w:top w:val="single" w:sz="4" w:space="1" w:color="auto"/>
        <w:left w:val="single" w:sz="4" w:space="4" w:color="auto"/>
        <w:bottom w:val="single" w:sz="4" w:space="1" w:color="auto"/>
        <w:right w:val="single" w:sz="4" w:space="4" w:color="auto"/>
      </w:pBdr>
      <w:shd w:val="clear" w:color="auto" w:fill="E6E6E6"/>
      <w:ind w:left="180" w:hanging="180"/>
      <w:jc w:val="both"/>
    </w:pPr>
    <w:rPr>
      <w:rFonts w:ascii="Helvetica" w:hAnsi="Helvetica"/>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Footer">
    <w:name w:val="footer"/>
    <w:basedOn w:val="Normal"/>
    <w:link w:val="FooterChar"/>
    <w:uiPriority w:val="99"/>
    <w:semiHidden/>
    <w:rsid w:val="003A2CBF"/>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semiHidden/>
    <w:rsid w:val="003A2CBF"/>
    <w:pPr>
      <w:ind w:left="900"/>
      <w:jc w:val="both"/>
    </w:pPr>
    <w:rPr>
      <w:rFonts w:ascii="Helvetica" w:hAnsi="Helvetica"/>
      <w:sz w:val="22"/>
      <w:szCs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semiHidden/>
    <w:rsid w:val="003A2CBF"/>
    <w:pPr>
      <w:tabs>
        <w:tab w:val="left" w:pos="17100"/>
      </w:tabs>
      <w:ind w:right="-1134"/>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semiHidden/>
    <w:rsid w:val="003A2CBF"/>
    <w:rPr>
      <w:rFonts w:cs="Times New Roman"/>
    </w:rPr>
  </w:style>
  <w:style w:type="paragraph" w:customStyle="1" w:styleId="Contenutiprincipali">
    <w:name w:val="Contenuti principali"/>
    <w:basedOn w:val="Normal"/>
    <w:uiPriority w:val="99"/>
    <w:rsid w:val="003A2CBF"/>
    <w:pPr>
      <w:jc w:val="both"/>
    </w:pPr>
    <w:rPr>
      <w:rFonts w:ascii="Arial" w:hAnsi="Arial"/>
      <w:b/>
      <w:caps/>
      <w:sz w:val="18"/>
      <w:szCs w:val="20"/>
    </w:rPr>
  </w:style>
  <w:style w:type="character" w:styleId="Hyperlink">
    <w:name w:val="Hyperlink"/>
    <w:basedOn w:val="DefaultParagraphFont"/>
    <w:uiPriority w:val="99"/>
    <w:semiHidden/>
    <w:rsid w:val="003A2CBF"/>
    <w:rPr>
      <w:rFonts w:cs="Times New Roman"/>
      <w:color w:val="0000FF"/>
      <w:u w:val="single"/>
    </w:rPr>
  </w:style>
  <w:style w:type="paragraph" w:styleId="Header">
    <w:name w:val="header"/>
    <w:basedOn w:val="Normal"/>
    <w:link w:val="HeaderChar"/>
    <w:uiPriority w:val="99"/>
    <w:semiHidden/>
    <w:rsid w:val="003A2CBF"/>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3A2CBF"/>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3A2CBF"/>
    <w:rPr>
      <w:rFonts w:cs="Times New Roman"/>
      <w:vertAlign w:val="superscript"/>
    </w:rPr>
  </w:style>
  <w:style w:type="character" w:styleId="FollowedHyperlink">
    <w:name w:val="FollowedHyperlink"/>
    <w:basedOn w:val="DefaultParagraphFont"/>
    <w:uiPriority w:val="99"/>
    <w:semiHidden/>
    <w:rsid w:val="003A2CBF"/>
    <w:rPr>
      <w:rFonts w:cs="Times New Roman"/>
      <w:color w:val="800080"/>
      <w:u w:val="single"/>
    </w:rPr>
  </w:style>
  <w:style w:type="paragraph" w:customStyle="1" w:styleId="Paragrafo">
    <w:name w:val="Paragrafo"/>
    <w:basedOn w:val="Normal"/>
    <w:uiPriority w:val="99"/>
    <w:rsid w:val="003A2CBF"/>
    <w:pPr>
      <w:widowControl w:val="0"/>
      <w:autoSpaceDE w:val="0"/>
      <w:autoSpaceDN w:val="0"/>
      <w:adjustRightInd w:val="0"/>
      <w:spacing w:after="282"/>
    </w:pPr>
    <w:rPr>
      <w:rFonts w:ascii="Helvetica" w:hAnsi="Helvetica" w:cs="Helvetica"/>
      <w:noProof/>
      <w:color w:val="000000"/>
      <w:sz w:val="20"/>
      <w:szCs w:val="20"/>
    </w:rPr>
  </w:style>
  <w:style w:type="paragraph" w:styleId="BalloonText">
    <w:name w:val="Balloon Text"/>
    <w:basedOn w:val="Normal"/>
    <w:link w:val="BalloonTextChar"/>
    <w:uiPriority w:val="99"/>
    <w:semiHidden/>
    <w:rsid w:val="003A2CB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Passaggiotabella">
    <w:name w:val="Passaggio tabella"/>
    <w:uiPriority w:val="99"/>
    <w:rsid w:val="003A2CBF"/>
    <w:pPr>
      <w:widowControl w:val="0"/>
      <w:autoSpaceDE w:val="0"/>
      <w:autoSpaceDN w:val="0"/>
      <w:adjustRightInd w:val="0"/>
      <w:spacing w:after="84"/>
    </w:pPr>
    <w:rPr>
      <w:rFonts w:ascii="Helvetica" w:hAnsi="Helvetica" w:cs="Helvetica"/>
      <w:noProof/>
      <w:color w:val="000000"/>
      <w:sz w:val="20"/>
      <w:szCs w:val="20"/>
    </w:rPr>
  </w:style>
  <w:style w:type="paragraph" w:customStyle="1" w:styleId="Corpodeltesto22">
    <w:name w:val="Corpo del testo 22"/>
    <w:basedOn w:val="Normal"/>
    <w:uiPriority w:val="99"/>
    <w:rsid w:val="00671AC5"/>
    <w:pPr>
      <w:overflowPunct w:val="0"/>
      <w:autoSpaceDE w:val="0"/>
      <w:autoSpaceDN w:val="0"/>
      <w:adjustRightInd w:val="0"/>
      <w:spacing w:line="240" w:lineRule="atLeast"/>
      <w:jc w:val="both"/>
      <w:textAlignment w:val="baseline"/>
    </w:pPr>
    <w:rPr>
      <w:rFonts w:ascii="Times" w:hAnsi="Times"/>
      <w:sz w:val="22"/>
      <w:szCs w:val="20"/>
    </w:rPr>
  </w:style>
  <w:style w:type="paragraph" w:customStyle="1" w:styleId="Testopredefi">
    <w:name w:val="Testo predefi"/>
    <w:basedOn w:val="Normal"/>
    <w:uiPriority w:val="99"/>
    <w:rsid w:val="003A2CBF"/>
    <w:pPr>
      <w:ind w:right="567"/>
      <w:jc w:val="both"/>
    </w:pPr>
    <w:rPr>
      <w:szCs w:val="20"/>
    </w:rPr>
  </w:style>
  <w:style w:type="paragraph" w:styleId="ListParagraph">
    <w:name w:val="List Paragraph"/>
    <w:basedOn w:val="Normal"/>
    <w:uiPriority w:val="99"/>
    <w:qFormat/>
    <w:rsid w:val="008B5E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amichelin.com" TargetMode="External"/><Relationship Id="rId3" Type="http://schemas.openxmlformats.org/officeDocument/2006/relationships/settings" Target="settings.xml"/><Relationship Id="rId7" Type="http://schemas.openxmlformats.org/officeDocument/2006/relationships/hyperlink" Target="http://www.viamichel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4</Pages>
  <Words>1675</Words>
  <Characters>9553</Characters>
  <Application>Microsoft Office Outlook</Application>
  <DocSecurity>0</DocSecurity>
  <Lines>0</Lines>
  <Paragraphs>0</Paragraphs>
  <ScaleCrop>false</ScaleCrop>
  <Company>Banca Popolare di Bergamo CV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Bancario Banche Popolari Unite </dc:title>
  <dc:subject/>
  <dc:creator>Codazza</dc:creator>
  <cp:keywords/>
  <dc:description/>
  <cp:lastModifiedBy>Banca Lombarda e Piemontese</cp:lastModifiedBy>
  <cp:revision>18</cp:revision>
  <cp:lastPrinted>2012-11-12T10:32:00Z</cp:lastPrinted>
  <dcterms:created xsi:type="dcterms:W3CDTF">2012-11-12T10:33:00Z</dcterms:created>
  <dcterms:modified xsi:type="dcterms:W3CDTF">2012-11-12T13:23:00Z</dcterms:modified>
</cp:coreProperties>
</file>